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3"/>
        <w:gridCol w:w="7306"/>
      </w:tblGrid>
      <w:tr w:rsidR="00C17D5F" w14:paraId="468F6EAA" w14:textId="77777777" w:rsidTr="00651F82">
        <w:trPr>
          <w:trHeight w:val="838"/>
        </w:trPr>
        <w:tc>
          <w:tcPr>
            <w:tcW w:w="8669" w:type="dxa"/>
            <w:gridSpan w:val="2"/>
          </w:tcPr>
          <w:p w14:paraId="7F8FB13D" w14:textId="79CF68E3" w:rsidR="00C17D5F" w:rsidRPr="00337DFE" w:rsidRDefault="001276FC" w:rsidP="00643B3F">
            <w:pPr>
              <w:pStyle w:val="TfGMDocumentHeading"/>
              <w:spacing w:after="0"/>
              <w:jc w:val="both"/>
              <w:rPr>
                <w:rFonts w:asciiTheme="minorHAnsi" w:eastAsiaTheme="minorEastAsia" w:hAnsiTheme="minorHAnsi"/>
                <w:sz w:val="40"/>
                <w:szCs w:val="24"/>
              </w:rPr>
            </w:pPr>
            <w:r>
              <w:rPr>
                <w:rFonts w:asciiTheme="minorHAnsi" w:eastAsiaTheme="minorEastAsia" w:hAnsiTheme="minorHAnsi"/>
                <w:sz w:val="44"/>
                <w:szCs w:val="24"/>
              </w:rPr>
              <w:t xml:space="preserve">                                                                    </w:t>
            </w:r>
            <w:r w:rsidR="00B6286E">
              <w:rPr>
                <w:rFonts w:asciiTheme="minorHAnsi" w:eastAsiaTheme="minorEastAsia" w:hAnsiTheme="minorHAnsi"/>
                <w:sz w:val="44"/>
                <w:szCs w:val="24"/>
              </w:rPr>
              <w:t>B</w:t>
            </w:r>
            <w:r w:rsidR="00C17D5F" w:rsidRPr="00115E87">
              <w:rPr>
                <w:rFonts w:asciiTheme="minorHAnsi" w:eastAsiaTheme="minorEastAsia" w:hAnsiTheme="minorHAnsi"/>
                <w:sz w:val="44"/>
                <w:szCs w:val="24"/>
              </w:rPr>
              <w:t>riefing</w:t>
            </w:r>
          </w:p>
        </w:tc>
      </w:tr>
      <w:tr w:rsidR="00C17D5F" w:rsidRPr="00C17D5F" w14:paraId="18DA4D8C" w14:textId="77777777" w:rsidTr="00651F82">
        <w:trPr>
          <w:trHeight w:val="576"/>
        </w:trPr>
        <w:tc>
          <w:tcPr>
            <w:tcW w:w="1363" w:type="dxa"/>
          </w:tcPr>
          <w:p w14:paraId="07955331" w14:textId="77777777" w:rsidR="00C17D5F" w:rsidRPr="00C17D5F" w:rsidRDefault="00C17D5F" w:rsidP="00643B3F">
            <w:pPr>
              <w:pStyle w:val="TfGMDocumentHeading"/>
              <w:spacing w:after="0"/>
              <w:jc w:val="both"/>
              <w:rPr>
                <w:rFonts w:asciiTheme="minorHAnsi" w:eastAsiaTheme="minorEastAsia" w:hAnsiTheme="minorHAnsi"/>
                <w:b w:val="0"/>
                <w:szCs w:val="26"/>
              </w:rPr>
            </w:pPr>
            <w:r w:rsidRPr="00C17D5F">
              <w:rPr>
                <w:rFonts w:asciiTheme="minorHAnsi" w:eastAsiaTheme="minorEastAsia" w:hAnsiTheme="minorHAnsi"/>
                <w:b w:val="0"/>
                <w:szCs w:val="26"/>
              </w:rPr>
              <w:t xml:space="preserve">Title </w:t>
            </w:r>
          </w:p>
        </w:tc>
        <w:tc>
          <w:tcPr>
            <w:tcW w:w="7306" w:type="dxa"/>
          </w:tcPr>
          <w:p w14:paraId="0ABD3D03" w14:textId="091BD4F8" w:rsidR="003A69E6" w:rsidRPr="003A69E6" w:rsidRDefault="004E04AC" w:rsidP="00643B3F">
            <w:pPr>
              <w:pStyle w:val="TfGMDocumentHeading"/>
              <w:spacing w:after="0"/>
              <w:jc w:val="both"/>
              <w:rPr>
                <w:rFonts w:asciiTheme="minorHAnsi" w:hAnsiTheme="minorHAnsi"/>
                <w:szCs w:val="26"/>
              </w:rPr>
            </w:pPr>
            <w:r>
              <w:rPr>
                <w:rFonts w:asciiTheme="minorHAnsi" w:hAnsiTheme="minorHAnsi"/>
                <w:szCs w:val="26"/>
              </w:rPr>
              <w:t>Response to GMPON Feedback - Tameside</w:t>
            </w:r>
          </w:p>
        </w:tc>
      </w:tr>
      <w:tr w:rsidR="00C17D5F" w:rsidRPr="00C17D5F" w14:paraId="603BE41D" w14:textId="77777777" w:rsidTr="00651F82">
        <w:tc>
          <w:tcPr>
            <w:tcW w:w="1363" w:type="dxa"/>
          </w:tcPr>
          <w:p w14:paraId="09DDA2D8" w14:textId="6DDFCA8D" w:rsidR="00C17D5F" w:rsidRPr="00C17D5F" w:rsidRDefault="00C17D5F" w:rsidP="00643B3F">
            <w:pPr>
              <w:pStyle w:val="TfGMDocumentHeading"/>
              <w:spacing w:after="0"/>
              <w:jc w:val="both"/>
              <w:rPr>
                <w:rFonts w:asciiTheme="minorHAnsi" w:eastAsiaTheme="minorEastAsia" w:hAnsiTheme="minorHAnsi"/>
                <w:b w:val="0"/>
                <w:szCs w:val="26"/>
              </w:rPr>
            </w:pPr>
            <w:r w:rsidRPr="00C17D5F">
              <w:rPr>
                <w:rFonts w:asciiTheme="minorHAnsi" w:eastAsiaTheme="minorEastAsia" w:hAnsiTheme="minorHAnsi"/>
                <w:b w:val="0"/>
                <w:szCs w:val="26"/>
              </w:rPr>
              <w:t>Date</w:t>
            </w:r>
          </w:p>
          <w:p w14:paraId="16BCE7AD" w14:textId="77777777" w:rsidR="00C17D5F" w:rsidRPr="00C17D5F" w:rsidRDefault="00C17D5F" w:rsidP="00643B3F">
            <w:pPr>
              <w:pStyle w:val="TfGMDocumentHeading"/>
              <w:spacing w:after="0"/>
              <w:jc w:val="both"/>
              <w:rPr>
                <w:b w:val="0"/>
                <w:szCs w:val="26"/>
              </w:rPr>
            </w:pPr>
          </w:p>
        </w:tc>
        <w:tc>
          <w:tcPr>
            <w:tcW w:w="7306" w:type="dxa"/>
          </w:tcPr>
          <w:p w14:paraId="68109BF5" w14:textId="5F0EF861" w:rsidR="00C17D5F" w:rsidRPr="00C17D5F" w:rsidRDefault="00DF0AEA" w:rsidP="00DF0AEA">
            <w:pPr>
              <w:pStyle w:val="TfGMDocumentHeading"/>
              <w:spacing w:after="0"/>
              <w:jc w:val="both"/>
              <w:rPr>
                <w:rFonts w:asciiTheme="minorHAnsi" w:eastAsiaTheme="minorEastAsia" w:hAnsiTheme="minorHAnsi"/>
                <w:szCs w:val="26"/>
              </w:rPr>
            </w:pPr>
            <w:r>
              <w:rPr>
                <w:rFonts w:asciiTheme="minorHAnsi" w:eastAsiaTheme="minorEastAsia" w:hAnsiTheme="minorHAnsi"/>
                <w:szCs w:val="26"/>
              </w:rPr>
              <w:t>15</w:t>
            </w:r>
            <w:r w:rsidR="0097047B">
              <w:rPr>
                <w:rFonts w:asciiTheme="minorHAnsi" w:eastAsiaTheme="minorEastAsia" w:hAnsiTheme="minorHAnsi"/>
                <w:szCs w:val="26"/>
              </w:rPr>
              <w:t xml:space="preserve"> </w:t>
            </w:r>
            <w:r>
              <w:rPr>
                <w:rFonts w:asciiTheme="minorHAnsi" w:eastAsiaTheme="minorEastAsia" w:hAnsiTheme="minorHAnsi"/>
                <w:szCs w:val="26"/>
              </w:rPr>
              <w:t>January</w:t>
            </w:r>
            <w:r w:rsidR="00651F82">
              <w:rPr>
                <w:rFonts w:asciiTheme="minorHAnsi" w:eastAsiaTheme="minorEastAsia" w:hAnsiTheme="minorHAnsi"/>
                <w:szCs w:val="26"/>
              </w:rPr>
              <w:t xml:space="preserve"> 201</w:t>
            </w:r>
            <w:r>
              <w:rPr>
                <w:rFonts w:asciiTheme="minorHAnsi" w:eastAsiaTheme="minorEastAsia" w:hAnsiTheme="minorHAnsi"/>
                <w:szCs w:val="26"/>
              </w:rPr>
              <w:t>8</w:t>
            </w:r>
          </w:p>
        </w:tc>
      </w:tr>
    </w:tbl>
    <w:p w14:paraId="10FACD8D" w14:textId="1CBDB504" w:rsidR="00C17D5F" w:rsidRDefault="00BD23DC" w:rsidP="00643B3F">
      <w:pPr>
        <w:pStyle w:val="8TfGMStandardDocumentText"/>
        <w:pBdr>
          <w:bottom w:val="single" w:sz="12" w:space="2" w:color="auto"/>
        </w:pBdr>
        <w:spacing w:after="0"/>
        <w:jc w:val="both"/>
        <w:rPr>
          <w:rFonts w:asciiTheme="minorHAnsi" w:hAnsiTheme="minorHAnsi"/>
          <w:szCs w:val="26"/>
          <w:lang w:eastAsia="en-US"/>
        </w:rPr>
      </w:pPr>
      <w:r>
        <w:rPr>
          <w:rFonts w:asciiTheme="minorHAnsi" w:hAnsiTheme="minorHAnsi"/>
          <w:szCs w:val="26"/>
          <w:lang w:eastAsia="en-US"/>
        </w:rPr>
        <w:t xml:space="preserve"> Contact</w:t>
      </w:r>
      <w:r>
        <w:rPr>
          <w:rFonts w:asciiTheme="minorHAnsi" w:hAnsiTheme="minorHAnsi"/>
          <w:szCs w:val="26"/>
          <w:lang w:eastAsia="en-US"/>
        </w:rPr>
        <w:tab/>
      </w:r>
      <w:r w:rsidRPr="00BD23DC">
        <w:rPr>
          <w:rFonts w:asciiTheme="minorHAnsi" w:hAnsiTheme="minorHAnsi"/>
          <w:b/>
          <w:szCs w:val="26"/>
          <w:lang w:eastAsia="en-US"/>
        </w:rPr>
        <w:t>Sophie Clare</w:t>
      </w:r>
    </w:p>
    <w:p w14:paraId="6AA02524" w14:textId="3FF39DAD" w:rsidR="00BD23DC" w:rsidRDefault="00BD23DC" w:rsidP="00643B3F">
      <w:pPr>
        <w:pStyle w:val="8TfGMStandardDocumentText"/>
        <w:pBdr>
          <w:bottom w:val="single" w:sz="12" w:space="2" w:color="auto"/>
        </w:pBdr>
        <w:spacing w:after="0"/>
        <w:jc w:val="both"/>
        <w:rPr>
          <w:rFonts w:asciiTheme="minorHAnsi" w:hAnsiTheme="minorHAnsi"/>
          <w:szCs w:val="26"/>
          <w:lang w:eastAsia="en-US"/>
        </w:rPr>
      </w:pPr>
      <w:r>
        <w:rPr>
          <w:rFonts w:asciiTheme="minorHAnsi" w:hAnsiTheme="minorHAnsi"/>
          <w:szCs w:val="26"/>
          <w:lang w:eastAsia="en-US"/>
        </w:rPr>
        <w:tab/>
      </w:r>
      <w:r>
        <w:rPr>
          <w:rFonts w:asciiTheme="minorHAnsi" w:hAnsiTheme="minorHAnsi"/>
          <w:szCs w:val="26"/>
          <w:lang w:eastAsia="en-US"/>
        </w:rPr>
        <w:tab/>
        <w:t>0161 244 1244</w:t>
      </w:r>
      <w:r>
        <w:rPr>
          <w:rFonts w:asciiTheme="minorHAnsi" w:hAnsiTheme="minorHAnsi"/>
          <w:szCs w:val="26"/>
          <w:lang w:eastAsia="en-US"/>
        </w:rPr>
        <w:tab/>
      </w:r>
      <w:hyperlink r:id="rId11" w:history="1">
        <w:r w:rsidRPr="008F4544">
          <w:rPr>
            <w:rStyle w:val="Hyperlink"/>
            <w:rFonts w:asciiTheme="minorHAnsi" w:hAnsiTheme="minorHAnsi"/>
            <w:szCs w:val="26"/>
            <w:lang w:eastAsia="en-US"/>
          </w:rPr>
          <w:t>sophie.clare@tfgm.com</w:t>
        </w:r>
      </w:hyperlink>
    </w:p>
    <w:p w14:paraId="35B97959" w14:textId="77777777" w:rsidR="00BD23DC" w:rsidRPr="00C17D5F" w:rsidRDefault="00BD23DC" w:rsidP="00643B3F">
      <w:pPr>
        <w:pStyle w:val="8TfGMStandardDocumentText"/>
        <w:pBdr>
          <w:bottom w:val="single" w:sz="12" w:space="2" w:color="auto"/>
        </w:pBdr>
        <w:spacing w:after="0"/>
        <w:jc w:val="both"/>
        <w:rPr>
          <w:rFonts w:asciiTheme="minorHAnsi" w:hAnsiTheme="minorHAnsi"/>
          <w:szCs w:val="26"/>
          <w:lang w:eastAsia="en-US"/>
        </w:rPr>
      </w:pPr>
    </w:p>
    <w:p w14:paraId="0A73FF3B" w14:textId="7213B8CE" w:rsidR="00C60972" w:rsidRPr="006F040C" w:rsidRDefault="006F040C" w:rsidP="006F040C">
      <w:pPr>
        <w:pStyle w:val="1TfGMHeading1"/>
        <w:rPr>
          <w:rFonts w:eastAsiaTheme="minorEastAsia"/>
          <w:i/>
          <w:lang w:eastAsia="en-US"/>
        </w:rPr>
      </w:pPr>
      <w:r w:rsidRPr="006F040C">
        <w:rPr>
          <w:rFonts w:eastAsiaTheme="minorEastAsia"/>
          <w:i/>
          <w:lang w:eastAsia="en-US"/>
        </w:rPr>
        <w:t>“Free bus pass use – the time restriction of travelling after 9.30am can be a barrier for people as they often tell us they can’t attend sessions or appointments until after 10am due to not being able to use their free bus pass.”</w:t>
      </w:r>
    </w:p>
    <w:p w14:paraId="24234C13" w14:textId="440B2533" w:rsidR="002252A1" w:rsidRPr="002252A1" w:rsidRDefault="002252A1" w:rsidP="002252A1">
      <w:pPr>
        <w:pStyle w:val="2TfGMHeading2"/>
        <w:rPr>
          <w:rFonts w:eastAsiaTheme="minorEastAsia"/>
          <w:lang w:eastAsia="en-US"/>
        </w:rPr>
      </w:pPr>
      <w:r>
        <w:rPr>
          <w:rFonts w:eastAsiaTheme="minorEastAsia"/>
          <w:lang w:eastAsia="en-US"/>
        </w:rPr>
        <w:t>C</w:t>
      </w:r>
      <w:r w:rsidRPr="002252A1">
        <w:rPr>
          <w:rFonts w:eastAsiaTheme="minorEastAsia"/>
          <w:lang w:eastAsia="en-US"/>
        </w:rPr>
        <w:t>entral government determines who is eligible and the time of validity for concessionary travel within England in accordance with The Transport Act 2000. The national scheme supports free off-peak travel on all local buses, allowing ENCTP holders to travel between 09:30 and 23:00 Monday to Friday and all day at weekends and public holidays.</w:t>
      </w:r>
    </w:p>
    <w:p w14:paraId="653E7629" w14:textId="2A66C8AC" w:rsidR="002252A1" w:rsidRPr="002252A1" w:rsidRDefault="002252A1" w:rsidP="002252A1">
      <w:pPr>
        <w:pStyle w:val="2TfGMHeading2"/>
        <w:rPr>
          <w:rFonts w:eastAsiaTheme="minorEastAsia"/>
          <w:lang w:eastAsia="en-US"/>
        </w:rPr>
      </w:pPr>
      <w:r w:rsidRPr="002252A1">
        <w:rPr>
          <w:rFonts w:eastAsiaTheme="minorEastAsia"/>
          <w:lang w:eastAsia="en-US"/>
        </w:rPr>
        <w:t>Local authorities are able to use discretionary powers to extend the ENCTP scheme or offer additional concessions but any extensions must be funded locally.</w:t>
      </w:r>
    </w:p>
    <w:p w14:paraId="6CA333A6" w14:textId="089B63A9" w:rsidR="002252A1" w:rsidRPr="002252A1" w:rsidRDefault="002252A1" w:rsidP="002252A1">
      <w:pPr>
        <w:pStyle w:val="2TfGMHeading2"/>
        <w:rPr>
          <w:rFonts w:eastAsiaTheme="minorEastAsia"/>
          <w:lang w:eastAsia="en-US"/>
        </w:rPr>
      </w:pPr>
      <w:r w:rsidRPr="002252A1">
        <w:rPr>
          <w:rFonts w:eastAsiaTheme="minorEastAsia"/>
          <w:lang w:eastAsia="en-US"/>
        </w:rPr>
        <w:t xml:space="preserve">In Greater Manchester, the Transport for Greater Manchester Committee (TfGMC) has decided to use its powers to provide free travel on rail and Metrolink for ENCTP holders and has also introduced a concessionary scheme for young people, known as the </w:t>
      </w:r>
      <w:proofErr w:type="spellStart"/>
      <w:r w:rsidRPr="002252A1">
        <w:rPr>
          <w:rFonts w:eastAsiaTheme="minorEastAsia"/>
          <w:lang w:eastAsia="en-US"/>
        </w:rPr>
        <w:t>igo</w:t>
      </w:r>
      <w:proofErr w:type="spellEnd"/>
      <w:r w:rsidRPr="002252A1">
        <w:rPr>
          <w:rFonts w:eastAsiaTheme="minorEastAsia"/>
          <w:lang w:eastAsia="en-US"/>
        </w:rPr>
        <w:t xml:space="preserve"> card. In addition, these local extensions provide further concessions to ENCTP customers who hold a pass on the grounds of having a disability, which includes half fare prior to 09:30. Free travel during the morning peak is granted to those with more severe disabilities, who TfGMC feel would have great difficulty in handling money. A Travel Voucher scheme is also in place, providing discounted travel by taxi and private hire vehicles for those with poor mobility and this is also funded entirely by Transport for Greater Manchester (TfGM).</w:t>
      </w:r>
    </w:p>
    <w:p w14:paraId="18E74554" w14:textId="4C016290" w:rsidR="00281F59" w:rsidRDefault="002252A1" w:rsidP="002252A1">
      <w:pPr>
        <w:pStyle w:val="2TfGMHeading2"/>
        <w:rPr>
          <w:rFonts w:eastAsiaTheme="minorEastAsia"/>
          <w:lang w:eastAsia="en-US"/>
        </w:rPr>
      </w:pPr>
      <w:r w:rsidRPr="002252A1">
        <w:rPr>
          <w:rFonts w:eastAsiaTheme="minorEastAsia"/>
          <w:lang w:eastAsia="en-US"/>
        </w:rPr>
        <w:t xml:space="preserve">Due to the limited budget which TfGM has to fund extensions to local concessions, it is likely that in order to include further concessions, for instance free travel for all pass holders prior to 09:30, TfGMC would have to consider removing one of the concessions outlined above. This is because there is a significant cost to concessionary travel as local </w:t>
      </w:r>
      <w:r w:rsidRPr="002252A1">
        <w:rPr>
          <w:rFonts w:eastAsiaTheme="minorEastAsia"/>
          <w:lang w:eastAsia="en-US"/>
        </w:rPr>
        <w:lastRenderedPageBreak/>
        <w:t>authorities must reimburse commercial operators for each concessionary journey made.</w:t>
      </w:r>
    </w:p>
    <w:p w14:paraId="6C6DE832" w14:textId="04AFB46E" w:rsidR="00C1095A" w:rsidRPr="00281E30" w:rsidRDefault="00281E30" w:rsidP="00281E30">
      <w:pPr>
        <w:pStyle w:val="1TfGMHeading1"/>
        <w:rPr>
          <w:rFonts w:eastAsiaTheme="minorEastAsia"/>
          <w:i/>
          <w:lang w:eastAsia="en-US"/>
        </w:rPr>
      </w:pPr>
      <w:r w:rsidRPr="00281E30">
        <w:rPr>
          <w:rFonts w:eastAsiaTheme="minorEastAsia"/>
          <w:i/>
          <w:lang w:eastAsia="en-US"/>
        </w:rPr>
        <w:t>“Individuals that are able to use public transport, still find it difficult due to not living on a main bus route, resulting in a long walk before being able to access the bus. We have received a number of reports where bus services around estates have either been cut or stopped.”</w:t>
      </w:r>
    </w:p>
    <w:p w14:paraId="34AAADA0" w14:textId="77777777" w:rsidR="00021FAA" w:rsidRPr="00482C80" w:rsidRDefault="00021FAA" w:rsidP="00021FAA">
      <w:pPr>
        <w:pStyle w:val="2TfGMHeading2"/>
        <w:rPr>
          <w:rFonts w:eastAsiaTheme="minorEastAsia"/>
          <w:lang w:eastAsia="en-US"/>
        </w:rPr>
      </w:pPr>
      <w:bookmarkStart w:id="0" w:name="_GoBack"/>
      <w:r w:rsidRPr="00482C80">
        <w:rPr>
          <w:rFonts w:eastAsiaTheme="minorEastAsia"/>
          <w:lang w:eastAsia="en-US"/>
        </w:rPr>
        <w:t xml:space="preserve">In Greater Manchester the bus market is deregulated unlike London. 80% of the network is provided on a commercial basis by privately owned and operated bus companies who are free to determine their own services, routes and fares. In practice, this means that the bus operators serve routes that they believe to be commercially viable. </w:t>
      </w:r>
    </w:p>
    <w:p w14:paraId="12D3AA0B" w14:textId="77777777" w:rsidR="00021FAA" w:rsidRPr="00482C80" w:rsidRDefault="00021FAA" w:rsidP="00021FAA">
      <w:pPr>
        <w:pStyle w:val="2TfGMHeading2"/>
        <w:rPr>
          <w:rFonts w:eastAsiaTheme="minorEastAsia"/>
          <w:lang w:eastAsia="en-US"/>
        </w:rPr>
      </w:pPr>
      <w:r w:rsidRPr="00482C80">
        <w:rPr>
          <w:rFonts w:eastAsiaTheme="minorEastAsia"/>
          <w:lang w:eastAsia="en-US"/>
        </w:rPr>
        <w:t>Transport for Greater Manchester (TfGM) does provide financial support to provide routes where there is no commercially available service, but have a limited budget to do so.</w:t>
      </w:r>
    </w:p>
    <w:p w14:paraId="5D2F3672" w14:textId="77777777" w:rsidR="00021FAA" w:rsidRPr="00482C80" w:rsidRDefault="00021FAA" w:rsidP="00021FAA">
      <w:pPr>
        <w:pStyle w:val="2TfGMHeading2"/>
        <w:rPr>
          <w:rFonts w:eastAsiaTheme="minorEastAsia"/>
          <w:lang w:eastAsia="en-US"/>
        </w:rPr>
      </w:pPr>
      <w:r w:rsidRPr="00482C80">
        <w:rPr>
          <w:rFonts w:eastAsiaTheme="minorEastAsia"/>
          <w:lang w:eastAsia="en-US"/>
        </w:rPr>
        <w:t>The Greater Manchester Combined Authority has asked Transport for Greater Manchester (TfGM) to explore new opportunities for the reform of the bus market provided to combined mayoral authorities by the Bus Services Act 2017, which was introduced into law last year. This includes preparing an assessment of a proposed franchising scheme (the system used in London and other cities globally), as well as new engaging with bus operators about partnership options. The Act gives the elected Mayor of Greater Manchester the option to reform the bus market, subject to public consultation.</w:t>
      </w:r>
    </w:p>
    <w:p w14:paraId="77489412" w14:textId="36E39D0A" w:rsidR="00021FAA" w:rsidRPr="00F0400F" w:rsidRDefault="00021FAA" w:rsidP="00021FAA">
      <w:pPr>
        <w:pStyle w:val="2TfGMHeading2"/>
        <w:rPr>
          <w:rFonts w:eastAsiaTheme="minorEastAsia"/>
          <w:lang w:eastAsia="en-US"/>
        </w:rPr>
      </w:pPr>
      <w:r w:rsidRPr="00F0400F">
        <w:rPr>
          <w:rFonts w:eastAsiaTheme="minorEastAsia"/>
          <w:lang w:eastAsia="en-US"/>
        </w:rPr>
        <w:t>This could bring significant benefits for residents and passengers, allowing for greater local control over routes, frequencies, timetables, fares and quality standards for all buses across the Greater Manchester network.</w:t>
      </w:r>
    </w:p>
    <w:bookmarkEnd w:id="0"/>
    <w:p w14:paraId="5505A7FA" w14:textId="36655C84" w:rsidR="00A71D4B" w:rsidRPr="00021FAA" w:rsidRDefault="00021FAA" w:rsidP="00021FAA">
      <w:pPr>
        <w:pStyle w:val="1TfGMHeading1"/>
        <w:rPr>
          <w:rFonts w:eastAsiaTheme="minorEastAsia"/>
          <w:i/>
          <w:lang w:eastAsia="en-US"/>
        </w:rPr>
      </w:pPr>
      <w:r w:rsidRPr="00021FAA">
        <w:rPr>
          <w:rFonts w:eastAsiaTheme="minorEastAsia"/>
          <w:i/>
          <w:lang w:eastAsia="en-US"/>
        </w:rPr>
        <w:t xml:space="preserve"> </w:t>
      </w:r>
      <w:r w:rsidR="006F040C" w:rsidRPr="00021FAA">
        <w:rPr>
          <w:rFonts w:eastAsiaTheme="minorEastAsia"/>
          <w:i/>
          <w:lang w:eastAsia="en-US"/>
        </w:rPr>
        <w:t>“Ring and Ride/Community Transport – feels like these services are at the convenience of the transport operator as opposed to the individual.  For example, people may spend 1.5 hours on a mini bus to do a relatively short journey (due to multiple pick-ups in different locations) without toilet facilities, which can be an issue for some people.”</w:t>
      </w:r>
    </w:p>
    <w:p w14:paraId="654FEB34" w14:textId="68E138F9" w:rsidR="00CD6F8B" w:rsidRPr="00CD6F8B" w:rsidRDefault="00CD6F8B" w:rsidP="00CD6F8B">
      <w:pPr>
        <w:pStyle w:val="2TfGMHeading2"/>
        <w:rPr>
          <w:rFonts w:eastAsiaTheme="minorEastAsia"/>
          <w:lang w:eastAsia="en-US"/>
        </w:rPr>
      </w:pPr>
      <w:r>
        <w:rPr>
          <w:rFonts w:eastAsiaTheme="minorEastAsia"/>
          <w:lang w:eastAsia="en-US"/>
        </w:rPr>
        <w:t>Ring and</w:t>
      </w:r>
      <w:r w:rsidRPr="00CD6F8B">
        <w:rPr>
          <w:rFonts w:eastAsiaTheme="minorEastAsia"/>
          <w:lang w:eastAsia="en-US"/>
        </w:rPr>
        <w:t xml:space="preserve"> Ride services are scheduled to allow them to carry as many people as possible. GMATL use (as does TfGM’s Local Link service) a computer system called Trapeze that allows the operator to maximise as </w:t>
      </w:r>
      <w:r w:rsidRPr="00CD6F8B">
        <w:rPr>
          <w:rFonts w:eastAsiaTheme="minorEastAsia"/>
          <w:lang w:eastAsia="en-US"/>
        </w:rPr>
        <w:lastRenderedPageBreak/>
        <w:t xml:space="preserve">many trips as possible. </w:t>
      </w:r>
      <w:r>
        <w:rPr>
          <w:rFonts w:eastAsiaTheme="minorEastAsia"/>
          <w:lang w:eastAsia="en-US"/>
        </w:rPr>
        <w:t xml:space="preserve">The </w:t>
      </w:r>
      <w:r w:rsidRPr="00CD6F8B">
        <w:rPr>
          <w:rFonts w:eastAsiaTheme="minorEastAsia"/>
          <w:lang w:eastAsia="en-US"/>
        </w:rPr>
        <w:t>particular incident of an hour and a half does</w:t>
      </w:r>
      <w:r>
        <w:rPr>
          <w:rFonts w:eastAsiaTheme="minorEastAsia"/>
          <w:lang w:eastAsia="en-US"/>
        </w:rPr>
        <w:t>, however,</w:t>
      </w:r>
      <w:r w:rsidRPr="00CD6F8B">
        <w:rPr>
          <w:rFonts w:eastAsiaTheme="minorEastAsia"/>
          <w:lang w:eastAsia="en-US"/>
        </w:rPr>
        <w:t xml:space="preserve"> seem excessive </w:t>
      </w:r>
      <w:r w:rsidR="00021FAA">
        <w:rPr>
          <w:rFonts w:eastAsiaTheme="minorEastAsia"/>
          <w:lang w:eastAsia="en-US"/>
        </w:rPr>
        <w:t xml:space="preserve">and we would be happy to look into this further </w:t>
      </w:r>
      <w:r w:rsidRPr="00CD6F8B">
        <w:rPr>
          <w:rFonts w:eastAsiaTheme="minorEastAsia"/>
          <w:lang w:eastAsia="en-US"/>
        </w:rPr>
        <w:t xml:space="preserve">if we could be provided with details. </w:t>
      </w:r>
    </w:p>
    <w:p w14:paraId="62D3F7B1" w14:textId="11574377" w:rsidR="00CD6F8B" w:rsidRDefault="00CD6F8B" w:rsidP="00CD6F8B">
      <w:pPr>
        <w:pStyle w:val="2TfGMHeading2"/>
        <w:rPr>
          <w:rFonts w:eastAsiaTheme="minorEastAsia"/>
          <w:lang w:eastAsia="en-US"/>
        </w:rPr>
      </w:pPr>
      <w:r>
        <w:rPr>
          <w:rFonts w:eastAsiaTheme="minorEastAsia"/>
          <w:lang w:eastAsia="en-US"/>
        </w:rPr>
        <w:t>Ring and</w:t>
      </w:r>
      <w:r w:rsidRPr="00CD6F8B">
        <w:rPr>
          <w:rFonts w:eastAsiaTheme="minorEastAsia"/>
          <w:lang w:eastAsia="en-US"/>
        </w:rPr>
        <w:t xml:space="preserve"> Ride operates under strict budgetary constraints meaning that it has to carry as many people as possible for the budget available. If we were to limit the ma</w:t>
      </w:r>
      <w:r>
        <w:rPr>
          <w:rFonts w:eastAsiaTheme="minorEastAsia"/>
          <w:lang w:eastAsia="en-US"/>
        </w:rPr>
        <w:t>ximum journey time, for example to half an hour,</w:t>
      </w:r>
      <w:r w:rsidRPr="00CD6F8B">
        <w:rPr>
          <w:rFonts w:eastAsiaTheme="minorEastAsia"/>
          <w:lang w:eastAsia="en-US"/>
        </w:rPr>
        <w:t xml:space="preserve"> that would negatively impact on the number of trips the service can do (and, therefore, the number of people it can carry). It i</w:t>
      </w:r>
      <w:r>
        <w:rPr>
          <w:rFonts w:eastAsiaTheme="minorEastAsia"/>
          <w:lang w:eastAsia="en-US"/>
        </w:rPr>
        <w:t>s a delicate balancing act and we</w:t>
      </w:r>
      <w:r w:rsidRPr="00CD6F8B">
        <w:rPr>
          <w:rFonts w:eastAsiaTheme="minorEastAsia"/>
          <w:lang w:eastAsia="en-US"/>
        </w:rPr>
        <w:t xml:space="preserve"> accept that occasionally people </w:t>
      </w:r>
      <w:r w:rsidR="00021FAA">
        <w:rPr>
          <w:rFonts w:eastAsiaTheme="minorEastAsia"/>
          <w:lang w:eastAsia="en-US"/>
        </w:rPr>
        <w:t xml:space="preserve">may </w:t>
      </w:r>
      <w:r w:rsidRPr="00CD6F8B">
        <w:rPr>
          <w:rFonts w:eastAsiaTheme="minorEastAsia"/>
          <w:lang w:eastAsia="en-US"/>
        </w:rPr>
        <w:t xml:space="preserve">travel for longer than </w:t>
      </w:r>
      <w:r>
        <w:rPr>
          <w:rFonts w:eastAsiaTheme="minorEastAsia"/>
          <w:lang w:eastAsia="en-US"/>
        </w:rPr>
        <w:t>they</w:t>
      </w:r>
      <w:r w:rsidRPr="00CD6F8B">
        <w:rPr>
          <w:rFonts w:eastAsiaTheme="minorEastAsia"/>
          <w:lang w:eastAsia="en-US"/>
        </w:rPr>
        <w:t xml:space="preserve"> would like. If these instances are reported when they happen</w:t>
      </w:r>
      <w:r>
        <w:rPr>
          <w:rFonts w:eastAsiaTheme="minorEastAsia"/>
          <w:lang w:eastAsia="en-US"/>
        </w:rPr>
        <w:t>,</w:t>
      </w:r>
      <w:r w:rsidRPr="00CD6F8B">
        <w:rPr>
          <w:rFonts w:eastAsiaTheme="minorEastAsia"/>
          <w:lang w:eastAsia="en-US"/>
        </w:rPr>
        <w:t xml:space="preserve"> TfGM </w:t>
      </w:r>
      <w:r>
        <w:rPr>
          <w:rFonts w:eastAsiaTheme="minorEastAsia"/>
          <w:lang w:eastAsia="en-US"/>
        </w:rPr>
        <w:t>can investigate further with the</w:t>
      </w:r>
      <w:r w:rsidRPr="00CD6F8B">
        <w:rPr>
          <w:rFonts w:eastAsiaTheme="minorEastAsia"/>
          <w:lang w:eastAsia="en-US"/>
        </w:rPr>
        <w:t xml:space="preserve"> operator</w:t>
      </w:r>
      <w:r w:rsidR="00021FAA">
        <w:rPr>
          <w:rFonts w:eastAsiaTheme="minorEastAsia"/>
          <w:lang w:eastAsia="en-US"/>
        </w:rPr>
        <w:t xml:space="preserve"> GMATL</w:t>
      </w:r>
      <w:r>
        <w:rPr>
          <w:rFonts w:eastAsiaTheme="minorEastAsia"/>
          <w:lang w:eastAsia="en-US"/>
        </w:rPr>
        <w:t>.</w:t>
      </w:r>
    </w:p>
    <w:p w14:paraId="68B23B9E" w14:textId="27BF96B2" w:rsidR="006F040C" w:rsidRPr="006F040C" w:rsidRDefault="006F040C" w:rsidP="006F040C">
      <w:pPr>
        <w:pStyle w:val="1TfGMHeading1"/>
        <w:rPr>
          <w:rFonts w:eastAsiaTheme="minorEastAsia"/>
          <w:i/>
          <w:lang w:eastAsia="en-US"/>
        </w:rPr>
      </w:pPr>
      <w:r w:rsidRPr="006F040C">
        <w:rPr>
          <w:rFonts w:eastAsiaTheme="minorEastAsia"/>
          <w:i/>
          <w:lang w:eastAsia="en-US"/>
        </w:rPr>
        <w:t>“Ring and Ride/Community Transport – often runs late and people are given a time slot, but can become agitated whilst waiting, especially if the bus is running late and the person is living with dementia and may be cognitively impaired.”</w:t>
      </w:r>
    </w:p>
    <w:p w14:paraId="0486F697" w14:textId="2EBECD92" w:rsidR="006F040C" w:rsidRDefault="00CD6F8B" w:rsidP="006F040C">
      <w:pPr>
        <w:pStyle w:val="2TfGMHeading2"/>
        <w:rPr>
          <w:rFonts w:eastAsiaTheme="minorEastAsia"/>
          <w:lang w:eastAsia="en-US"/>
        </w:rPr>
      </w:pPr>
      <w:r>
        <w:rPr>
          <w:rFonts w:eastAsiaTheme="minorEastAsia"/>
          <w:lang w:eastAsia="en-US"/>
        </w:rPr>
        <w:t>TfGM</w:t>
      </w:r>
      <w:r w:rsidRPr="00CD6F8B">
        <w:rPr>
          <w:rFonts w:eastAsiaTheme="minorEastAsia"/>
          <w:lang w:eastAsia="en-US"/>
        </w:rPr>
        <w:t xml:space="preserve"> appreciate that </w:t>
      </w:r>
      <w:r>
        <w:rPr>
          <w:rFonts w:eastAsiaTheme="minorEastAsia"/>
          <w:lang w:eastAsia="en-US"/>
        </w:rPr>
        <w:t>a late-running service</w:t>
      </w:r>
      <w:r w:rsidRPr="00CD6F8B">
        <w:rPr>
          <w:rFonts w:eastAsiaTheme="minorEastAsia"/>
          <w:lang w:eastAsia="en-US"/>
        </w:rPr>
        <w:t xml:space="preserve"> can </w:t>
      </w:r>
      <w:r w:rsidR="00B5681A">
        <w:rPr>
          <w:rFonts w:eastAsiaTheme="minorEastAsia"/>
          <w:lang w:eastAsia="en-US"/>
        </w:rPr>
        <w:t>cause</w:t>
      </w:r>
      <w:r w:rsidRPr="00CD6F8B">
        <w:rPr>
          <w:rFonts w:eastAsiaTheme="minorEastAsia"/>
          <w:lang w:eastAsia="en-US"/>
        </w:rPr>
        <w:t xml:space="preserve"> agitation and disquiet for people with many conditions and especially those with cognitive impairment or dementia. This is, unfortunately, largely caused by traffic congestion which can be ex</w:t>
      </w:r>
      <w:r>
        <w:rPr>
          <w:rFonts w:eastAsiaTheme="minorEastAsia"/>
          <w:lang w:eastAsia="en-US"/>
        </w:rPr>
        <w:t>tremely difficult to predict. Once</w:t>
      </w:r>
      <w:r w:rsidRPr="00CD6F8B">
        <w:rPr>
          <w:rFonts w:eastAsiaTheme="minorEastAsia"/>
          <w:lang w:eastAsia="en-US"/>
        </w:rPr>
        <w:t xml:space="preserve"> a vehicle gets behind schedule (due to congestion) it can be difficult for the driver to make up the time. </w:t>
      </w:r>
      <w:r>
        <w:rPr>
          <w:rFonts w:eastAsiaTheme="minorEastAsia"/>
          <w:lang w:eastAsia="en-US"/>
        </w:rPr>
        <w:t xml:space="preserve">It </w:t>
      </w:r>
      <w:r w:rsidRPr="00CD6F8B">
        <w:rPr>
          <w:rFonts w:eastAsiaTheme="minorEastAsia"/>
          <w:lang w:eastAsia="en-US"/>
        </w:rPr>
        <w:t>would be possible to give drivers more free time in the schedule to counter congestion</w:t>
      </w:r>
      <w:r>
        <w:rPr>
          <w:rFonts w:eastAsiaTheme="minorEastAsia"/>
          <w:lang w:eastAsia="en-US"/>
        </w:rPr>
        <w:t>, but this would have the knock-</w:t>
      </w:r>
      <w:r w:rsidRPr="00CD6F8B">
        <w:rPr>
          <w:rFonts w:eastAsiaTheme="minorEastAsia"/>
          <w:lang w:eastAsia="en-US"/>
        </w:rPr>
        <w:t>on effect of increasing the number o</w:t>
      </w:r>
      <w:r w:rsidR="006F040C">
        <w:rPr>
          <w:rFonts w:eastAsiaTheme="minorEastAsia"/>
          <w:lang w:eastAsia="en-US"/>
        </w:rPr>
        <w:t>f people who were refused trips.</w:t>
      </w:r>
    </w:p>
    <w:p w14:paraId="627FF49A" w14:textId="7539CB26" w:rsidR="006F040C" w:rsidRPr="006F040C" w:rsidRDefault="006F040C" w:rsidP="006F040C">
      <w:pPr>
        <w:pStyle w:val="1TfGMHeading1"/>
        <w:rPr>
          <w:i/>
        </w:rPr>
      </w:pPr>
      <w:r w:rsidRPr="006F040C">
        <w:rPr>
          <w:i/>
        </w:rPr>
        <w:t>“Ring and Ride/Community Transport – can’t be used for hospital appointments as not reliable enough.”</w:t>
      </w:r>
    </w:p>
    <w:p w14:paraId="4CEBD8A0" w14:textId="28F6CC42" w:rsidR="00CD6F8B" w:rsidRDefault="00CD6F8B" w:rsidP="006F040C">
      <w:pPr>
        <w:pStyle w:val="2TfGMHeading2"/>
        <w:rPr>
          <w:rFonts w:eastAsiaTheme="minorEastAsia"/>
        </w:rPr>
      </w:pPr>
      <w:r w:rsidRPr="006F040C">
        <w:rPr>
          <w:rFonts w:eastAsiaTheme="minorEastAsia"/>
          <w:lang w:eastAsia="en-US"/>
        </w:rPr>
        <w:t xml:space="preserve">This is a concern as </w:t>
      </w:r>
      <w:r w:rsidR="00D32368">
        <w:rPr>
          <w:rFonts w:eastAsiaTheme="minorEastAsia"/>
          <w:lang w:eastAsia="en-US"/>
        </w:rPr>
        <w:t xml:space="preserve">we recognise </w:t>
      </w:r>
      <w:r w:rsidR="0033265D">
        <w:rPr>
          <w:rFonts w:eastAsiaTheme="minorEastAsia"/>
          <w:lang w:eastAsia="en-US"/>
        </w:rPr>
        <w:t>the importance of</w:t>
      </w:r>
      <w:r w:rsidRPr="006F040C">
        <w:rPr>
          <w:rFonts w:eastAsiaTheme="minorEastAsia"/>
          <w:lang w:eastAsia="en-US"/>
        </w:rPr>
        <w:t xml:space="preserve"> hospital appointments. The reliability of the service is something TfGM are working on to ensure that people can </w:t>
      </w:r>
      <w:r w:rsidR="0033265D">
        <w:rPr>
          <w:rFonts w:eastAsiaTheme="minorEastAsia"/>
          <w:lang w:eastAsia="en-US"/>
        </w:rPr>
        <w:t>count</w:t>
      </w:r>
      <w:r w:rsidRPr="006F040C">
        <w:rPr>
          <w:rFonts w:eastAsiaTheme="minorEastAsia"/>
          <w:lang w:eastAsia="en-US"/>
        </w:rPr>
        <w:t xml:space="preserve"> on the service to get to appointments. </w:t>
      </w:r>
      <w:r w:rsidR="00AE1117" w:rsidRPr="006F040C">
        <w:rPr>
          <w:rFonts w:eastAsiaTheme="minorEastAsia"/>
          <w:lang w:eastAsia="en-US"/>
        </w:rPr>
        <w:t xml:space="preserve">TfGM </w:t>
      </w:r>
      <w:r w:rsidRPr="006F040C">
        <w:rPr>
          <w:rFonts w:eastAsiaTheme="minorEastAsia"/>
          <w:lang w:eastAsia="en-US"/>
        </w:rPr>
        <w:t xml:space="preserve">are looking at ways of making </w:t>
      </w:r>
      <w:r w:rsidR="003C5A99" w:rsidRPr="006F040C">
        <w:rPr>
          <w:rFonts w:eastAsiaTheme="minorEastAsia"/>
          <w:lang w:eastAsia="en-US"/>
        </w:rPr>
        <w:t>Ring and Ride</w:t>
      </w:r>
      <w:r w:rsidRPr="006F040C">
        <w:rPr>
          <w:rFonts w:eastAsiaTheme="minorEastAsia"/>
          <w:lang w:eastAsia="en-US"/>
        </w:rPr>
        <w:t xml:space="preserve"> more financially sustainable as well as trying to ensure that it is available for people who need it</w:t>
      </w:r>
      <w:r w:rsidR="000C0EAA">
        <w:rPr>
          <w:rFonts w:eastAsiaTheme="minorEastAsia"/>
          <w:lang w:eastAsia="en-US"/>
        </w:rPr>
        <w:t xml:space="preserve"> most</w:t>
      </w:r>
      <w:r w:rsidRPr="006F040C">
        <w:rPr>
          <w:rFonts w:eastAsiaTheme="minorEastAsia"/>
          <w:lang w:eastAsia="en-US"/>
        </w:rPr>
        <w:t>.</w:t>
      </w:r>
    </w:p>
    <w:p w14:paraId="323A62D5" w14:textId="2C871860" w:rsidR="00281E30" w:rsidRDefault="00281E30" w:rsidP="00281E30">
      <w:pPr>
        <w:pStyle w:val="1TfGMHeading1"/>
        <w:rPr>
          <w:rFonts w:eastAsiaTheme="minorEastAsia"/>
          <w:i/>
        </w:rPr>
      </w:pPr>
      <w:r w:rsidRPr="00281E30">
        <w:rPr>
          <w:rFonts w:eastAsiaTheme="minorEastAsia"/>
          <w:i/>
        </w:rPr>
        <w:t>“Lack of confidence in accessing door to door services, this can be due to mobility, sensory difficulties, physical and mental health. Navigating a booking system can also add an extra complication for some people.”</w:t>
      </w:r>
    </w:p>
    <w:p w14:paraId="3C84096C" w14:textId="10BD6EB8" w:rsidR="00281E30" w:rsidRPr="00281E30" w:rsidRDefault="001144F1" w:rsidP="00281E30">
      <w:pPr>
        <w:pStyle w:val="2TfGMHeading2"/>
      </w:pPr>
      <w:r>
        <w:lastRenderedPageBreak/>
        <w:t>TfGM works closely with a disability design reference group</w:t>
      </w:r>
      <w:r w:rsidR="00FD5B3F">
        <w:t xml:space="preserve"> (DDRG)</w:t>
      </w:r>
      <w:r>
        <w:t xml:space="preserve"> to improve the accessibility of its transport faci</w:t>
      </w:r>
      <w:r w:rsidR="00FD5B3F">
        <w:t>lities and information provision, but we</w:t>
      </w:r>
      <w:r>
        <w:t xml:space="preserve"> would encourage </w:t>
      </w:r>
      <w:r w:rsidR="00FD5B3F">
        <w:t>people to make us aware of any specific problems with the Ring &amp; Ride booking services so that we can work with the operator GMATL to improve access.</w:t>
      </w:r>
    </w:p>
    <w:p w14:paraId="4A3381AC" w14:textId="60B5E0F5" w:rsidR="00281E30" w:rsidRDefault="00281E30" w:rsidP="00281E30">
      <w:pPr>
        <w:pStyle w:val="1TfGMHeading1"/>
        <w:rPr>
          <w:rFonts w:eastAsiaTheme="minorEastAsia"/>
          <w:i/>
        </w:rPr>
      </w:pPr>
      <w:r w:rsidRPr="00281E30">
        <w:rPr>
          <w:rFonts w:eastAsiaTheme="minorEastAsia"/>
          <w:i/>
        </w:rPr>
        <w:t xml:space="preserve">“Older people report problems with lighting, parking, seating and road crossings being a barrier to accessing public transport, but </w:t>
      </w:r>
      <w:proofErr w:type="spellStart"/>
      <w:r w:rsidRPr="00281E30">
        <w:rPr>
          <w:rFonts w:eastAsiaTheme="minorEastAsia"/>
          <w:i/>
        </w:rPr>
        <w:t>their are</w:t>
      </w:r>
      <w:proofErr w:type="spellEnd"/>
      <w:r w:rsidRPr="00281E30">
        <w:rPr>
          <w:rFonts w:eastAsiaTheme="minorEastAsia"/>
          <w:i/>
        </w:rPr>
        <w:t xml:space="preserve"> unsure who or how to report this and lack confidence that something would be done once an issue had been raised” </w:t>
      </w:r>
    </w:p>
    <w:p w14:paraId="306A35B9" w14:textId="4A7EB4B3" w:rsidR="00281E30" w:rsidRDefault="00D92C16" w:rsidP="00281E30">
      <w:pPr>
        <w:pStyle w:val="2TfGMHeading2"/>
        <w:rPr>
          <w:rFonts w:eastAsiaTheme="minorEastAsia"/>
        </w:rPr>
      </w:pPr>
      <w:r>
        <w:rPr>
          <w:rFonts w:eastAsiaTheme="minorEastAsia"/>
        </w:rPr>
        <w:t>TfGM has developed a design guide for the transport interchanges</w:t>
      </w:r>
      <w:r w:rsidR="00AE2EDC">
        <w:rPr>
          <w:rFonts w:eastAsiaTheme="minorEastAsia"/>
        </w:rPr>
        <w:t>, park and ride facilities,</w:t>
      </w:r>
      <w:r>
        <w:rPr>
          <w:rFonts w:eastAsiaTheme="minorEastAsia"/>
        </w:rPr>
        <w:t xml:space="preserve"> bus and Metrolink stops that it owns and manages to ensure that when these facilities are built or improved they are designed in a way which makes them accessible </w:t>
      </w:r>
      <w:r w:rsidR="00AE2EDC">
        <w:rPr>
          <w:rFonts w:eastAsiaTheme="minorEastAsia"/>
        </w:rPr>
        <w:t>to</w:t>
      </w:r>
      <w:r>
        <w:rPr>
          <w:rFonts w:eastAsiaTheme="minorEastAsia"/>
        </w:rPr>
        <w:t xml:space="preserve"> all.</w:t>
      </w:r>
    </w:p>
    <w:p w14:paraId="545625B3" w14:textId="45227D8B" w:rsidR="00AE2EDC" w:rsidRDefault="00AE2EDC" w:rsidP="00AE2EDC">
      <w:pPr>
        <w:pStyle w:val="2TfGMHeading2"/>
        <w:rPr>
          <w:rFonts w:eastAsiaTheme="minorEastAsia"/>
        </w:rPr>
      </w:pPr>
      <w:r>
        <w:rPr>
          <w:rFonts w:eastAsiaTheme="minorEastAsia"/>
        </w:rPr>
        <w:t xml:space="preserve">For example, </w:t>
      </w:r>
      <w:r w:rsidRPr="00AE2EDC">
        <w:rPr>
          <w:rFonts w:eastAsiaTheme="minorEastAsia"/>
        </w:rPr>
        <w:t>all Metrolink stops have accessibility built-in, with step free access for wheelchair users and features to assist visually impaired people such as boarding points and tactile paving</w:t>
      </w:r>
      <w:r>
        <w:rPr>
          <w:rFonts w:eastAsiaTheme="minorEastAsia"/>
        </w:rPr>
        <w:t>.</w:t>
      </w:r>
    </w:p>
    <w:p w14:paraId="573721AD" w14:textId="5AC5D2C0" w:rsidR="00AE2EDC" w:rsidRPr="00AE2EDC" w:rsidRDefault="00AE2EDC" w:rsidP="00AE2EDC">
      <w:pPr>
        <w:pStyle w:val="2TfGMHeading2"/>
        <w:rPr>
          <w:rFonts w:eastAsiaTheme="minorEastAsia"/>
        </w:rPr>
      </w:pPr>
      <w:r>
        <w:rPr>
          <w:rFonts w:eastAsiaTheme="minorEastAsia"/>
        </w:rPr>
        <w:t>TfGM would encourage people to report any problems they experience with the facilities that it manages either directly or perhaps through their local ward councillor if they prefer.</w:t>
      </w:r>
    </w:p>
    <w:sectPr w:rsidR="00AE2EDC" w:rsidRPr="00AE2EDC" w:rsidSect="00172639">
      <w:headerReference w:type="default" r:id="rId12"/>
      <w:footerReference w:type="default" r:id="rId13"/>
      <w:headerReference w:type="first" r:id="rId14"/>
      <w:footerReference w:type="first" r:id="rId15"/>
      <w:pgSz w:w="11906" w:h="16838"/>
      <w:pgMar w:top="1527" w:right="1797" w:bottom="1276" w:left="1440" w:header="0" w:footer="33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BEC675" w14:textId="77777777" w:rsidR="000C441C" w:rsidRDefault="000C441C" w:rsidP="0072701B">
      <w:r>
        <w:separator/>
      </w:r>
    </w:p>
  </w:endnote>
  <w:endnote w:type="continuationSeparator" w:id="0">
    <w:p w14:paraId="5D9C6BB5" w14:textId="77777777" w:rsidR="000C441C" w:rsidRDefault="000C441C" w:rsidP="00727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1656971"/>
      <w:docPartObj>
        <w:docPartGallery w:val="Page Numbers (Bottom of Page)"/>
        <w:docPartUnique/>
      </w:docPartObj>
    </w:sdtPr>
    <w:sdtEndPr>
      <w:rPr>
        <w:noProof/>
      </w:rPr>
    </w:sdtEndPr>
    <w:sdtContent>
      <w:p w14:paraId="2529F8F3" w14:textId="77777777" w:rsidR="000C441C" w:rsidRDefault="000C441C">
        <w:pPr>
          <w:pStyle w:val="Footer"/>
          <w:jc w:val="center"/>
        </w:pPr>
      </w:p>
      <w:p w14:paraId="74533342" w14:textId="77777777" w:rsidR="000C441C" w:rsidRDefault="00694F73" w:rsidP="00172639">
        <w:pPr>
          <w:pStyle w:val="Footer"/>
          <w:rPr>
            <w:noProof/>
          </w:rPr>
        </w:pPr>
      </w:p>
    </w:sdtContent>
  </w:sdt>
  <w:p w14:paraId="2529F8F5" w14:textId="3129B323" w:rsidR="000C441C" w:rsidRPr="00A92BB9" w:rsidRDefault="000C441C" w:rsidP="00B2323F">
    <w:pPr>
      <w:pStyle w:val="Footer"/>
      <w:tabs>
        <w:tab w:val="left" w:pos="-1134"/>
      </w:tabs>
      <w:ind w:left="-1134"/>
      <w:rPr>
        <w:sz w:val="20"/>
        <w:szCs w:val="20"/>
      </w:rPr>
    </w:pPr>
    <w:r>
      <w:rPr>
        <w:sz w:val="20"/>
        <w:szCs w:val="20"/>
      </w:rPr>
      <w:tab/>
    </w:r>
    <w:r>
      <w:rPr>
        <w:sz w:val="20"/>
        <w:szCs w:val="20"/>
      </w:rPr>
      <w:fldChar w:fldCharType="begin"/>
    </w:r>
    <w:r>
      <w:rPr>
        <w:sz w:val="20"/>
        <w:szCs w:val="20"/>
      </w:rPr>
      <w:instrText xml:space="preserve"> PAGE  \* Arabic  \* MERGEFORMAT </w:instrText>
    </w:r>
    <w:r>
      <w:rPr>
        <w:sz w:val="20"/>
        <w:szCs w:val="20"/>
      </w:rPr>
      <w:fldChar w:fldCharType="separate"/>
    </w:r>
    <w:r w:rsidR="00694F73">
      <w:rPr>
        <w:noProof/>
        <w:sz w:val="20"/>
        <w:szCs w:val="20"/>
      </w:rPr>
      <w:t>4</w:t>
    </w:r>
    <w:r>
      <w:rPr>
        <w:sz w:val="20"/>
        <w:szCs w:val="20"/>
      </w:rPr>
      <w:fldChar w:fldCharType="end"/>
    </w:r>
    <w:r>
      <w:rPr>
        <w:sz w:val="20"/>
        <w:szCs w:val="20"/>
      </w:rPr>
      <w:tab/>
    </w:r>
  </w:p>
  <w:p w14:paraId="2529F8F6" w14:textId="77777777" w:rsidR="000C441C" w:rsidRDefault="000C44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9F8F9" w14:textId="0B8288A0" w:rsidR="000C441C" w:rsidRDefault="000C441C" w:rsidP="00172639">
    <w:pPr>
      <w:pStyle w:val="Footer"/>
      <w:tabs>
        <w:tab w:val="left" w:pos="0"/>
      </w:tabs>
    </w:pPr>
    <w:r w:rsidRPr="009B18D4">
      <w:rPr>
        <w:rFonts w:asciiTheme="minorHAnsi" w:hAnsiTheme="minorHAnsi" w:cstheme="minorHAnsi"/>
        <w:sz w:val="22"/>
        <w:szCs w:val="22"/>
      </w:rPr>
      <w:tab/>
    </w:r>
    <w:r>
      <w:rPr>
        <w:rFonts w:asciiTheme="minorHAnsi" w:hAnsiTheme="minorHAnsi" w:cstheme="minorHAnsi"/>
        <w:sz w:val="22"/>
        <w:szCs w:val="22"/>
      </w:rPr>
      <w:fldChar w:fldCharType="begin"/>
    </w:r>
    <w:r>
      <w:rPr>
        <w:rFonts w:asciiTheme="minorHAnsi" w:hAnsiTheme="minorHAnsi" w:cstheme="minorHAnsi"/>
        <w:sz w:val="22"/>
        <w:szCs w:val="22"/>
      </w:rPr>
      <w:instrText xml:space="preserve"> PAGE  \* Arabic  \* MERGEFORMAT </w:instrText>
    </w:r>
    <w:r>
      <w:rPr>
        <w:rFonts w:asciiTheme="minorHAnsi" w:hAnsiTheme="minorHAnsi" w:cstheme="minorHAnsi"/>
        <w:sz w:val="22"/>
        <w:szCs w:val="22"/>
      </w:rPr>
      <w:fldChar w:fldCharType="separate"/>
    </w:r>
    <w:r w:rsidR="00694F73">
      <w:rPr>
        <w:rFonts w:asciiTheme="minorHAnsi" w:hAnsiTheme="minorHAnsi" w:cstheme="minorHAnsi"/>
        <w:noProof/>
        <w:sz w:val="22"/>
        <w:szCs w:val="22"/>
      </w:rPr>
      <w:t>1</w:t>
    </w:r>
    <w:r>
      <w:rPr>
        <w:rFonts w:asciiTheme="minorHAnsi" w:hAnsiTheme="minorHAnsi" w:cstheme="minorHAnsi"/>
        <w:sz w:val="22"/>
        <w:szCs w:val="22"/>
      </w:rPr>
      <w:fldChar w:fldCharType="end"/>
    </w:r>
    <w:r w:rsidRPr="009B18D4">
      <w:rPr>
        <w:rFonts w:asciiTheme="minorHAnsi" w:hAnsiTheme="minorHAnsi" w:cstheme="minorHAnsi"/>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CAA881" w14:textId="77777777" w:rsidR="000C441C" w:rsidRDefault="000C441C" w:rsidP="0072701B">
      <w:r>
        <w:separator/>
      </w:r>
    </w:p>
  </w:footnote>
  <w:footnote w:type="continuationSeparator" w:id="0">
    <w:p w14:paraId="32981DA4" w14:textId="77777777" w:rsidR="000C441C" w:rsidRDefault="000C441C" w:rsidP="007270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9F8F2" w14:textId="77777777" w:rsidR="000C441C" w:rsidRDefault="000C441C" w:rsidP="00713B0B">
    <w:pPr>
      <w:pStyle w:val="Header"/>
      <w:tabs>
        <w:tab w:val="clear" w:pos="4513"/>
        <w:tab w:val="clear" w:pos="902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9F8F7" w14:textId="77777777" w:rsidR="000C441C" w:rsidRDefault="000C441C" w:rsidP="00713B0B">
    <w:pPr>
      <w:pStyle w:val="Header"/>
      <w:tabs>
        <w:tab w:val="clear" w:pos="4513"/>
        <w:tab w:val="clear" w:pos="9026"/>
      </w:tabs>
    </w:pPr>
    <w:r>
      <w:rPr>
        <w:noProof/>
      </w:rPr>
      <w:drawing>
        <wp:anchor distT="0" distB="0" distL="114300" distR="114300" simplePos="0" relativeHeight="251659264" behindDoc="0" locked="1" layoutInCell="1" allowOverlap="0" wp14:anchorId="2529F8FA" wp14:editId="560E62DB">
          <wp:simplePos x="0" y="0"/>
          <wp:positionH relativeFrom="page">
            <wp:posOffset>19050</wp:posOffset>
          </wp:positionH>
          <wp:positionV relativeFrom="page">
            <wp:posOffset>9525</wp:posOffset>
          </wp:positionV>
          <wp:extent cx="7546340" cy="1507490"/>
          <wp:effectExtent l="0" t="0" r="0" b="0"/>
          <wp:wrapNone/>
          <wp:docPr id="1" name="Picture 1" descr="TfGM_brand_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fGM_brand_head"/>
                  <pic:cNvPicPr>
                    <a:picLocks noChangeAspect="1" noChangeArrowheads="1"/>
                  </pic:cNvPicPr>
                </pic:nvPicPr>
                <pic:blipFill rotWithShape="1">
                  <a:blip r:embed="rId1">
                    <a:extLst>
                      <a:ext uri="{28A0092B-C50C-407E-A947-70E740481C1C}">
                        <a14:useLocalDpi xmlns:a14="http://schemas.microsoft.com/office/drawing/2010/main" val="0"/>
                      </a:ext>
                    </a:extLst>
                  </a:blip>
                  <a:srcRect b="19270"/>
                  <a:stretch/>
                </pic:blipFill>
                <pic:spPr bwMode="auto">
                  <a:xfrm>
                    <a:off x="0" y="0"/>
                    <a:ext cx="7546340" cy="15074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F3A5D"/>
    <w:multiLevelType w:val="hybridMultilevel"/>
    <w:tmpl w:val="82520A8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nsid w:val="0AE3569D"/>
    <w:multiLevelType w:val="multilevel"/>
    <w:tmpl w:val="3160A674"/>
    <w:lvl w:ilvl="0">
      <w:start w:val="1"/>
      <w:numFmt w:val="bullet"/>
      <w:lvlText w:val=""/>
      <w:lvlJc w:val="left"/>
      <w:pPr>
        <w:ind w:left="851" w:hanging="851"/>
      </w:pPr>
      <w:rPr>
        <w:rFonts w:ascii="Symbol" w:hAnsi="Symbol" w:hint="default"/>
        <w:b/>
        <w:sz w:val="26"/>
      </w:rPr>
    </w:lvl>
    <w:lvl w:ilvl="1">
      <w:start w:val="1"/>
      <w:numFmt w:val="decimal"/>
      <w:lvlText w:val="%1.%2"/>
      <w:lvlJc w:val="left"/>
      <w:pPr>
        <w:ind w:left="851" w:hanging="851"/>
      </w:pPr>
      <w:rPr>
        <w:rFonts w:ascii="Calibri" w:hAnsi="Calibri" w:hint="default"/>
        <w:sz w:val="26"/>
      </w:rPr>
    </w:lvl>
    <w:lvl w:ilvl="2">
      <w:start w:val="1"/>
      <w:numFmt w:val="decimal"/>
      <w:lvlText w:val="%1.%2.%3"/>
      <w:lvlJc w:val="left"/>
      <w:pPr>
        <w:ind w:left="851" w:hanging="851"/>
      </w:pPr>
      <w:rPr>
        <w:rFonts w:ascii="Calibri" w:hAnsi="Calibri" w:hint="default"/>
        <w:sz w:val="26"/>
      </w:rPr>
    </w:lvl>
    <w:lvl w:ilvl="3">
      <w:start w:val="1"/>
      <w:numFmt w:val="bullet"/>
      <w:lvlText w:val=""/>
      <w:lvlJc w:val="left"/>
      <w:pPr>
        <w:ind w:left="567" w:firstLine="510"/>
      </w:pPr>
      <w:rPr>
        <w:rFonts w:ascii="Symbol" w:hAnsi="Symbol" w:hint="default"/>
        <w:color w:val="auto"/>
        <w:sz w:val="26"/>
      </w:rPr>
    </w:lvl>
    <w:lvl w:ilvl="4">
      <w:start w:val="1"/>
      <w:numFmt w:val="bullet"/>
      <w:lvlText w:val=""/>
      <w:lvlJc w:val="left"/>
      <w:pPr>
        <w:ind w:left="567" w:firstLine="851"/>
      </w:pPr>
      <w:rPr>
        <w:rFonts w:ascii="Symbol" w:hAnsi="Symbol" w:hint="default"/>
        <w:sz w:val="26"/>
      </w:rPr>
    </w:lvl>
    <w:lvl w:ilvl="5">
      <w:start w:val="1"/>
      <w:numFmt w:val="lowerRoman"/>
      <w:lvlText w:val="%6)"/>
      <w:lvlJc w:val="left"/>
      <w:pPr>
        <w:ind w:left="567" w:firstLine="510"/>
      </w:pPr>
      <w:rPr>
        <w:rFonts w:ascii="Calibri" w:hAnsi="Calibri" w:hint="default"/>
        <w:sz w:val="26"/>
      </w:rPr>
    </w:lvl>
    <w:lvl w:ilvl="6">
      <w:start w:val="1"/>
      <w:numFmt w:val="none"/>
      <w:lvlText w:val=""/>
      <w:lvlJc w:val="left"/>
      <w:pPr>
        <w:ind w:left="851" w:firstLine="31918"/>
      </w:pPr>
      <w:rPr>
        <w:rFonts w:ascii="Calibri" w:hAnsi="Calibri" w:hint="default"/>
        <w:sz w:val="26"/>
      </w:rPr>
    </w:lvl>
    <w:lvl w:ilvl="7">
      <w:start w:val="1"/>
      <w:numFmt w:val="lowerLetter"/>
      <w:lvlText w:val="%8."/>
      <w:lvlJc w:val="left"/>
      <w:pPr>
        <w:ind w:left="12960" w:hanging="360"/>
      </w:pPr>
      <w:rPr>
        <w:rFonts w:hint="default"/>
      </w:rPr>
    </w:lvl>
    <w:lvl w:ilvl="8">
      <w:start w:val="1"/>
      <w:numFmt w:val="lowerRoman"/>
      <w:lvlText w:val="%9."/>
      <w:lvlJc w:val="left"/>
      <w:pPr>
        <w:ind w:left="13320" w:hanging="360"/>
      </w:pPr>
      <w:rPr>
        <w:rFonts w:hint="default"/>
      </w:rPr>
    </w:lvl>
  </w:abstractNum>
  <w:abstractNum w:abstractNumId="2">
    <w:nsid w:val="1B0002A8"/>
    <w:multiLevelType w:val="hybridMultilevel"/>
    <w:tmpl w:val="29FAD29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nsid w:val="1DB96A10"/>
    <w:multiLevelType w:val="multilevel"/>
    <w:tmpl w:val="56544D4C"/>
    <w:numStyleLink w:val="GMPTEList"/>
  </w:abstractNum>
  <w:abstractNum w:abstractNumId="4">
    <w:nsid w:val="1F9303D4"/>
    <w:multiLevelType w:val="hybridMultilevel"/>
    <w:tmpl w:val="FF4A473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
    <w:nsid w:val="24371827"/>
    <w:multiLevelType w:val="hybridMultilevel"/>
    <w:tmpl w:val="71E83F9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nsid w:val="297F3747"/>
    <w:multiLevelType w:val="hybridMultilevel"/>
    <w:tmpl w:val="A7FE4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9F7D7E"/>
    <w:multiLevelType w:val="hybridMultilevel"/>
    <w:tmpl w:val="D0560848"/>
    <w:lvl w:ilvl="0" w:tplc="4EDE14F2">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314314AB"/>
    <w:multiLevelType w:val="hybridMultilevel"/>
    <w:tmpl w:val="41F83EF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nsid w:val="32A7646A"/>
    <w:multiLevelType w:val="multilevel"/>
    <w:tmpl w:val="0EF62ECC"/>
    <w:lvl w:ilvl="0">
      <w:start w:val="1"/>
      <w:numFmt w:val="decimal"/>
      <w:lvlText w:val="%1"/>
      <w:lvlJc w:val="left"/>
      <w:pPr>
        <w:ind w:left="851" w:hanging="851"/>
      </w:pPr>
      <w:rPr>
        <w:rFonts w:ascii="Calibri" w:hAnsi="Calibri" w:hint="default"/>
        <w:b/>
        <w:sz w:val="26"/>
      </w:rPr>
    </w:lvl>
    <w:lvl w:ilvl="1">
      <w:start w:val="1"/>
      <w:numFmt w:val="bullet"/>
      <w:lvlText w:val=""/>
      <w:lvlJc w:val="left"/>
      <w:pPr>
        <w:ind w:left="851" w:hanging="851"/>
      </w:pPr>
      <w:rPr>
        <w:rFonts w:ascii="Symbol" w:hAnsi="Symbol" w:hint="default"/>
        <w:sz w:val="26"/>
      </w:rPr>
    </w:lvl>
    <w:lvl w:ilvl="2">
      <w:start w:val="1"/>
      <w:numFmt w:val="decimal"/>
      <w:lvlText w:val="%1.%2.%3"/>
      <w:lvlJc w:val="left"/>
      <w:pPr>
        <w:ind w:left="851" w:hanging="851"/>
      </w:pPr>
      <w:rPr>
        <w:rFonts w:ascii="Calibri" w:hAnsi="Calibri" w:hint="default"/>
        <w:sz w:val="26"/>
      </w:rPr>
    </w:lvl>
    <w:lvl w:ilvl="3">
      <w:start w:val="1"/>
      <w:numFmt w:val="bullet"/>
      <w:lvlText w:val=""/>
      <w:lvlJc w:val="left"/>
      <w:pPr>
        <w:ind w:left="567" w:firstLine="510"/>
      </w:pPr>
      <w:rPr>
        <w:rFonts w:ascii="Symbol" w:hAnsi="Symbol" w:hint="default"/>
        <w:color w:val="auto"/>
        <w:sz w:val="26"/>
      </w:rPr>
    </w:lvl>
    <w:lvl w:ilvl="4">
      <w:start w:val="1"/>
      <w:numFmt w:val="bullet"/>
      <w:lvlText w:val=""/>
      <w:lvlJc w:val="left"/>
      <w:pPr>
        <w:ind w:left="567" w:firstLine="851"/>
      </w:pPr>
      <w:rPr>
        <w:rFonts w:ascii="Symbol" w:hAnsi="Symbol" w:hint="default"/>
        <w:sz w:val="26"/>
      </w:rPr>
    </w:lvl>
    <w:lvl w:ilvl="5">
      <w:start w:val="1"/>
      <w:numFmt w:val="lowerRoman"/>
      <w:lvlText w:val="%6)"/>
      <w:lvlJc w:val="left"/>
      <w:pPr>
        <w:ind w:left="567" w:firstLine="510"/>
      </w:pPr>
      <w:rPr>
        <w:rFonts w:ascii="Calibri" w:hAnsi="Calibri" w:hint="default"/>
        <w:sz w:val="26"/>
      </w:rPr>
    </w:lvl>
    <w:lvl w:ilvl="6">
      <w:start w:val="1"/>
      <w:numFmt w:val="none"/>
      <w:lvlText w:val=""/>
      <w:lvlJc w:val="left"/>
      <w:pPr>
        <w:ind w:left="851" w:firstLine="31918"/>
      </w:pPr>
      <w:rPr>
        <w:rFonts w:ascii="Calibri" w:hAnsi="Calibri" w:hint="default"/>
        <w:sz w:val="26"/>
      </w:rPr>
    </w:lvl>
    <w:lvl w:ilvl="7">
      <w:start w:val="1"/>
      <w:numFmt w:val="lowerLetter"/>
      <w:lvlText w:val="%8."/>
      <w:lvlJc w:val="left"/>
      <w:pPr>
        <w:ind w:left="12960" w:hanging="360"/>
      </w:pPr>
      <w:rPr>
        <w:rFonts w:hint="default"/>
      </w:rPr>
    </w:lvl>
    <w:lvl w:ilvl="8">
      <w:start w:val="1"/>
      <w:numFmt w:val="lowerRoman"/>
      <w:lvlText w:val="%9."/>
      <w:lvlJc w:val="left"/>
      <w:pPr>
        <w:ind w:left="13320" w:hanging="360"/>
      </w:pPr>
      <w:rPr>
        <w:rFonts w:hint="default"/>
      </w:rPr>
    </w:lvl>
  </w:abstractNum>
  <w:abstractNum w:abstractNumId="10">
    <w:nsid w:val="3ACD1C32"/>
    <w:multiLevelType w:val="hybridMultilevel"/>
    <w:tmpl w:val="E41234C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nsid w:val="3F682A48"/>
    <w:multiLevelType w:val="multilevel"/>
    <w:tmpl w:val="F8C2D070"/>
    <w:styleLink w:val="GMPTEReportList"/>
    <w:lvl w:ilvl="0">
      <w:start w:val="1"/>
      <w:numFmt w:val="decimal"/>
      <w:lvlText w:val="%1."/>
      <w:lvlJc w:val="left"/>
      <w:pPr>
        <w:ind w:left="851" w:hanging="851"/>
      </w:pPr>
      <w:rPr>
        <w:rFonts w:ascii="Arial" w:hAnsi="Arial" w:hint="default"/>
        <w:b/>
        <w:sz w:val="24"/>
      </w:rPr>
    </w:lvl>
    <w:lvl w:ilvl="1">
      <w:start w:val="1"/>
      <w:numFmt w:val="decimal"/>
      <w:lvlText w:val="%1.%2"/>
      <w:lvlJc w:val="left"/>
      <w:pPr>
        <w:ind w:left="851" w:hanging="851"/>
      </w:pPr>
      <w:rPr>
        <w:rFonts w:ascii="Arial" w:hAnsi="Arial" w:hint="default"/>
        <w:sz w:val="24"/>
      </w:rPr>
    </w:lvl>
    <w:lvl w:ilvl="2">
      <w:start w:val="1"/>
      <w:numFmt w:val="decimal"/>
      <w:lvlText w:val="%1.%2.%3"/>
      <w:lvlJc w:val="left"/>
      <w:pPr>
        <w:ind w:left="851" w:hanging="851"/>
      </w:pPr>
      <w:rPr>
        <w:rFonts w:ascii="Arial" w:hAnsi="Arial" w:hint="default"/>
        <w:sz w:val="24"/>
      </w:rPr>
    </w:lvl>
    <w:lvl w:ilvl="3">
      <w:start w:val="1"/>
      <w:numFmt w:val="bullet"/>
      <w:lvlText w:val=""/>
      <w:lvlJc w:val="left"/>
      <w:pPr>
        <w:tabs>
          <w:tab w:val="num" w:pos="822"/>
        </w:tabs>
        <w:ind w:left="1389" w:hanging="567"/>
      </w:pPr>
      <w:rPr>
        <w:rFonts w:ascii="Symbol" w:hAnsi="Symbol" w:hint="default"/>
        <w:color w:val="auto"/>
        <w:sz w:val="24"/>
      </w:rPr>
    </w:lvl>
    <w:lvl w:ilvl="4">
      <w:start w:val="1"/>
      <w:numFmt w:val="bullet"/>
      <w:lvlRestart w:val="0"/>
      <w:lvlText w:val=""/>
      <w:lvlJc w:val="left"/>
      <w:pPr>
        <w:ind w:left="1134" w:firstLine="31635"/>
      </w:pPr>
      <w:rPr>
        <w:rFonts w:ascii="Symbol" w:hAnsi="Symbol" w:hint="default"/>
        <w:color w:val="auto"/>
        <w:sz w:val="24"/>
      </w:rPr>
    </w:lvl>
    <w:lvl w:ilvl="5">
      <w:start w:val="1"/>
      <w:numFmt w:val="bullet"/>
      <w:lvlRestart w:val="0"/>
      <w:lvlText w:val=""/>
      <w:lvlJc w:val="left"/>
      <w:pPr>
        <w:ind w:left="1418" w:firstLine="31351"/>
      </w:pPr>
      <w:rPr>
        <w:rFonts w:ascii="Symbol" w:hAnsi="Symbol" w:hint="default"/>
        <w:color w:val="auto"/>
        <w:sz w:val="24"/>
      </w:rPr>
    </w:lvl>
    <w:lvl w:ilvl="6">
      <w:start w:val="1"/>
      <w:numFmt w:val="decimal"/>
      <w:lvlText w:val="Appendix %7."/>
      <w:lvlJc w:val="right"/>
      <w:pPr>
        <w:ind w:left="0" w:firstLine="0"/>
      </w:pPr>
      <w:rPr>
        <w:rFonts w:ascii="Arial" w:hAnsi="Arial" w:hint="default"/>
        <w:b/>
        <w:i w:val="0"/>
        <w:color w:val="auto"/>
        <w:sz w:val="24"/>
      </w:rPr>
    </w:lvl>
    <w:lvl w:ilvl="7">
      <w:start w:val="1"/>
      <w:numFmt w:val="decimal"/>
      <w:lvlText w:val="%7.%8"/>
      <w:lvlJc w:val="left"/>
      <w:pPr>
        <w:ind w:left="851" w:hanging="851"/>
      </w:pPr>
      <w:rPr>
        <w:rFonts w:ascii="Arial" w:hAnsi="Arial" w:hint="default"/>
        <w:sz w:val="24"/>
      </w:rPr>
    </w:lvl>
    <w:lvl w:ilvl="8">
      <w:start w:val="1"/>
      <w:numFmt w:val="decimal"/>
      <w:lvlText w:val="%7.%8.%9"/>
      <w:lvlJc w:val="left"/>
      <w:pPr>
        <w:ind w:left="851" w:hanging="851"/>
      </w:pPr>
      <w:rPr>
        <w:rFonts w:ascii="Arial" w:hAnsi="Arial" w:hint="default"/>
        <w:sz w:val="24"/>
      </w:rPr>
    </w:lvl>
  </w:abstractNum>
  <w:abstractNum w:abstractNumId="12">
    <w:nsid w:val="42AD1BF9"/>
    <w:multiLevelType w:val="hybridMultilevel"/>
    <w:tmpl w:val="A15E1D5C"/>
    <w:lvl w:ilvl="0" w:tplc="08090001">
      <w:start w:val="1"/>
      <w:numFmt w:val="bullet"/>
      <w:lvlText w:val=""/>
      <w:lvlJc w:val="left"/>
      <w:pPr>
        <w:ind w:left="1635" w:hanging="360"/>
      </w:pPr>
      <w:rPr>
        <w:rFonts w:ascii="Symbol" w:hAnsi="Symbol" w:hint="default"/>
      </w:rPr>
    </w:lvl>
    <w:lvl w:ilvl="1" w:tplc="08090003" w:tentative="1">
      <w:start w:val="1"/>
      <w:numFmt w:val="bullet"/>
      <w:lvlText w:val="o"/>
      <w:lvlJc w:val="left"/>
      <w:pPr>
        <w:ind w:left="2355" w:hanging="360"/>
      </w:pPr>
      <w:rPr>
        <w:rFonts w:ascii="Courier New" w:hAnsi="Courier New" w:cs="Courier New" w:hint="default"/>
      </w:rPr>
    </w:lvl>
    <w:lvl w:ilvl="2" w:tplc="08090005" w:tentative="1">
      <w:start w:val="1"/>
      <w:numFmt w:val="bullet"/>
      <w:lvlText w:val=""/>
      <w:lvlJc w:val="left"/>
      <w:pPr>
        <w:ind w:left="3075" w:hanging="360"/>
      </w:pPr>
      <w:rPr>
        <w:rFonts w:ascii="Wingdings" w:hAnsi="Wingdings" w:hint="default"/>
      </w:rPr>
    </w:lvl>
    <w:lvl w:ilvl="3" w:tplc="08090001" w:tentative="1">
      <w:start w:val="1"/>
      <w:numFmt w:val="bullet"/>
      <w:lvlText w:val=""/>
      <w:lvlJc w:val="left"/>
      <w:pPr>
        <w:ind w:left="3795" w:hanging="360"/>
      </w:pPr>
      <w:rPr>
        <w:rFonts w:ascii="Symbol" w:hAnsi="Symbol" w:hint="default"/>
      </w:rPr>
    </w:lvl>
    <w:lvl w:ilvl="4" w:tplc="08090003" w:tentative="1">
      <w:start w:val="1"/>
      <w:numFmt w:val="bullet"/>
      <w:lvlText w:val="o"/>
      <w:lvlJc w:val="left"/>
      <w:pPr>
        <w:ind w:left="4515" w:hanging="360"/>
      </w:pPr>
      <w:rPr>
        <w:rFonts w:ascii="Courier New" w:hAnsi="Courier New" w:cs="Courier New" w:hint="default"/>
      </w:rPr>
    </w:lvl>
    <w:lvl w:ilvl="5" w:tplc="08090005" w:tentative="1">
      <w:start w:val="1"/>
      <w:numFmt w:val="bullet"/>
      <w:lvlText w:val=""/>
      <w:lvlJc w:val="left"/>
      <w:pPr>
        <w:ind w:left="5235" w:hanging="360"/>
      </w:pPr>
      <w:rPr>
        <w:rFonts w:ascii="Wingdings" w:hAnsi="Wingdings" w:hint="default"/>
      </w:rPr>
    </w:lvl>
    <w:lvl w:ilvl="6" w:tplc="08090001" w:tentative="1">
      <w:start w:val="1"/>
      <w:numFmt w:val="bullet"/>
      <w:lvlText w:val=""/>
      <w:lvlJc w:val="left"/>
      <w:pPr>
        <w:ind w:left="5955" w:hanging="360"/>
      </w:pPr>
      <w:rPr>
        <w:rFonts w:ascii="Symbol" w:hAnsi="Symbol" w:hint="default"/>
      </w:rPr>
    </w:lvl>
    <w:lvl w:ilvl="7" w:tplc="08090003" w:tentative="1">
      <w:start w:val="1"/>
      <w:numFmt w:val="bullet"/>
      <w:lvlText w:val="o"/>
      <w:lvlJc w:val="left"/>
      <w:pPr>
        <w:ind w:left="6675" w:hanging="360"/>
      </w:pPr>
      <w:rPr>
        <w:rFonts w:ascii="Courier New" w:hAnsi="Courier New" w:cs="Courier New" w:hint="default"/>
      </w:rPr>
    </w:lvl>
    <w:lvl w:ilvl="8" w:tplc="08090005" w:tentative="1">
      <w:start w:val="1"/>
      <w:numFmt w:val="bullet"/>
      <w:lvlText w:val=""/>
      <w:lvlJc w:val="left"/>
      <w:pPr>
        <w:ind w:left="7395" w:hanging="360"/>
      </w:pPr>
      <w:rPr>
        <w:rFonts w:ascii="Wingdings" w:hAnsi="Wingdings" w:hint="default"/>
      </w:rPr>
    </w:lvl>
  </w:abstractNum>
  <w:abstractNum w:abstractNumId="13">
    <w:nsid w:val="45842A97"/>
    <w:multiLevelType w:val="hybridMultilevel"/>
    <w:tmpl w:val="711A93E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nsid w:val="49630C10"/>
    <w:multiLevelType w:val="hybridMultilevel"/>
    <w:tmpl w:val="33BAB6B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B51180A"/>
    <w:multiLevelType w:val="hybridMultilevel"/>
    <w:tmpl w:val="DF0C81C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6">
    <w:nsid w:val="523C177A"/>
    <w:multiLevelType w:val="multilevel"/>
    <w:tmpl w:val="56544D4C"/>
    <w:styleLink w:val="GMPTEList"/>
    <w:lvl w:ilvl="0">
      <w:start w:val="1"/>
      <w:numFmt w:val="decimal"/>
      <w:pStyle w:val="1TfGMHeading1"/>
      <w:lvlText w:val="%1"/>
      <w:lvlJc w:val="left"/>
      <w:pPr>
        <w:ind w:left="851" w:hanging="851"/>
      </w:pPr>
      <w:rPr>
        <w:rFonts w:ascii="Calibri" w:hAnsi="Calibri" w:hint="default"/>
        <w:b/>
        <w:sz w:val="26"/>
      </w:rPr>
    </w:lvl>
    <w:lvl w:ilvl="1">
      <w:start w:val="1"/>
      <w:numFmt w:val="decimal"/>
      <w:pStyle w:val="2TfGMHeading2"/>
      <w:lvlText w:val="%1.%2"/>
      <w:lvlJc w:val="left"/>
      <w:pPr>
        <w:ind w:left="851" w:hanging="851"/>
      </w:pPr>
      <w:rPr>
        <w:rFonts w:ascii="Calibri" w:hAnsi="Calibri" w:hint="default"/>
        <w:sz w:val="26"/>
      </w:rPr>
    </w:lvl>
    <w:lvl w:ilvl="2">
      <w:start w:val="1"/>
      <w:numFmt w:val="decimal"/>
      <w:pStyle w:val="3TfGMHeading3"/>
      <w:lvlText w:val="%1.%2.%3"/>
      <w:lvlJc w:val="left"/>
      <w:pPr>
        <w:ind w:left="851" w:hanging="851"/>
      </w:pPr>
      <w:rPr>
        <w:rFonts w:ascii="Calibri" w:hAnsi="Calibri" w:hint="default"/>
        <w:sz w:val="26"/>
      </w:rPr>
    </w:lvl>
    <w:lvl w:ilvl="3">
      <w:start w:val="1"/>
      <w:numFmt w:val="bullet"/>
      <w:pStyle w:val="4TfGMBullet1"/>
      <w:lvlText w:val=""/>
      <w:lvlJc w:val="left"/>
      <w:pPr>
        <w:ind w:left="567" w:firstLine="510"/>
      </w:pPr>
      <w:rPr>
        <w:rFonts w:ascii="Symbol" w:hAnsi="Symbol" w:hint="default"/>
        <w:color w:val="auto"/>
        <w:sz w:val="26"/>
      </w:rPr>
    </w:lvl>
    <w:lvl w:ilvl="4">
      <w:start w:val="1"/>
      <w:numFmt w:val="bullet"/>
      <w:pStyle w:val="5TfGMBullet2"/>
      <w:lvlText w:val=""/>
      <w:lvlJc w:val="left"/>
      <w:pPr>
        <w:ind w:left="567" w:firstLine="851"/>
      </w:pPr>
      <w:rPr>
        <w:rFonts w:ascii="Symbol" w:hAnsi="Symbol" w:hint="default"/>
        <w:sz w:val="26"/>
      </w:rPr>
    </w:lvl>
    <w:lvl w:ilvl="5">
      <w:start w:val="1"/>
      <w:numFmt w:val="lowerRoman"/>
      <w:pStyle w:val="6TfGMRecommendations"/>
      <w:lvlText w:val="%6)"/>
      <w:lvlJc w:val="left"/>
      <w:pPr>
        <w:ind w:left="567" w:firstLine="510"/>
      </w:pPr>
      <w:rPr>
        <w:rFonts w:ascii="Calibri" w:hAnsi="Calibri" w:hint="default"/>
        <w:sz w:val="26"/>
      </w:rPr>
    </w:lvl>
    <w:lvl w:ilvl="6">
      <w:start w:val="1"/>
      <w:numFmt w:val="none"/>
      <w:lvlText w:val=""/>
      <w:lvlJc w:val="left"/>
      <w:pPr>
        <w:ind w:left="851" w:firstLine="31918"/>
      </w:pPr>
      <w:rPr>
        <w:rFonts w:ascii="Calibri" w:hAnsi="Calibri" w:hint="default"/>
        <w:sz w:val="26"/>
      </w:rPr>
    </w:lvl>
    <w:lvl w:ilvl="7">
      <w:start w:val="1"/>
      <w:numFmt w:val="lowerLetter"/>
      <w:lvlText w:val="%8."/>
      <w:lvlJc w:val="left"/>
      <w:pPr>
        <w:ind w:left="12960" w:hanging="360"/>
      </w:pPr>
      <w:rPr>
        <w:rFonts w:hint="default"/>
      </w:rPr>
    </w:lvl>
    <w:lvl w:ilvl="8">
      <w:start w:val="1"/>
      <w:numFmt w:val="lowerRoman"/>
      <w:lvlText w:val="%9."/>
      <w:lvlJc w:val="left"/>
      <w:pPr>
        <w:ind w:left="13320" w:hanging="360"/>
      </w:pPr>
      <w:rPr>
        <w:rFonts w:hint="default"/>
      </w:rPr>
    </w:lvl>
  </w:abstractNum>
  <w:abstractNum w:abstractNumId="17">
    <w:nsid w:val="55921135"/>
    <w:multiLevelType w:val="hybridMultilevel"/>
    <w:tmpl w:val="95625B2C"/>
    <w:lvl w:ilvl="0" w:tplc="08090001">
      <w:start w:val="1"/>
      <w:numFmt w:val="bullet"/>
      <w:lvlText w:val=""/>
      <w:lvlJc w:val="left"/>
      <w:pPr>
        <w:ind w:left="1635" w:hanging="360"/>
      </w:pPr>
      <w:rPr>
        <w:rFonts w:ascii="Symbol" w:hAnsi="Symbol" w:hint="default"/>
      </w:rPr>
    </w:lvl>
    <w:lvl w:ilvl="1" w:tplc="08090003" w:tentative="1">
      <w:start w:val="1"/>
      <w:numFmt w:val="bullet"/>
      <w:lvlText w:val="o"/>
      <w:lvlJc w:val="left"/>
      <w:pPr>
        <w:ind w:left="2355" w:hanging="360"/>
      </w:pPr>
      <w:rPr>
        <w:rFonts w:ascii="Courier New" w:hAnsi="Courier New" w:cs="Courier New" w:hint="default"/>
      </w:rPr>
    </w:lvl>
    <w:lvl w:ilvl="2" w:tplc="08090005" w:tentative="1">
      <w:start w:val="1"/>
      <w:numFmt w:val="bullet"/>
      <w:lvlText w:val=""/>
      <w:lvlJc w:val="left"/>
      <w:pPr>
        <w:ind w:left="3075" w:hanging="360"/>
      </w:pPr>
      <w:rPr>
        <w:rFonts w:ascii="Wingdings" w:hAnsi="Wingdings" w:hint="default"/>
      </w:rPr>
    </w:lvl>
    <w:lvl w:ilvl="3" w:tplc="08090001" w:tentative="1">
      <w:start w:val="1"/>
      <w:numFmt w:val="bullet"/>
      <w:lvlText w:val=""/>
      <w:lvlJc w:val="left"/>
      <w:pPr>
        <w:ind w:left="3795" w:hanging="360"/>
      </w:pPr>
      <w:rPr>
        <w:rFonts w:ascii="Symbol" w:hAnsi="Symbol" w:hint="default"/>
      </w:rPr>
    </w:lvl>
    <w:lvl w:ilvl="4" w:tplc="08090003" w:tentative="1">
      <w:start w:val="1"/>
      <w:numFmt w:val="bullet"/>
      <w:lvlText w:val="o"/>
      <w:lvlJc w:val="left"/>
      <w:pPr>
        <w:ind w:left="4515" w:hanging="360"/>
      </w:pPr>
      <w:rPr>
        <w:rFonts w:ascii="Courier New" w:hAnsi="Courier New" w:cs="Courier New" w:hint="default"/>
      </w:rPr>
    </w:lvl>
    <w:lvl w:ilvl="5" w:tplc="08090005" w:tentative="1">
      <w:start w:val="1"/>
      <w:numFmt w:val="bullet"/>
      <w:lvlText w:val=""/>
      <w:lvlJc w:val="left"/>
      <w:pPr>
        <w:ind w:left="5235" w:hanging="360"/>
      </w:pPr>
      <w:rPr>
        <w:rFonts w:ascii="Wingdings" w:hAnsi="Wingdings" w:hint="default"/>
      </w:rPr>
    </w:lvl>
    <w:lvl w:ilvl="6" w:tplc="08090001" w:tentative="1">
      <w:start w:val="1"/>
      <w:numFmt w:val="bullet"/>
      <w:lvlText w:val=""/>
      <w:lvlJc w:val="left"/>
      <w:pPr>
        <w:ind w:left="5955" w:hanging="360"/>
      </w:pPr>
      <w:rPr>
        <w:rFonts w:ascii="Symbol" w:hAnsi="Symbol" w:hint="default"/>
      </w:rPr>
    </w:lvl>
    <w:lvl w:ilvl="7" w:tplc="08090003" w:tentative="1">
      <w:start w:val="1"/>
      <w:numFmt w:val="bullet"/>
      <w:lvlText w:val="o"/>
      <w:lvlJc w:val="left"/>
      <w:pPr>
        <w:ind w:left="6675" w:hanging="360"/>
      </w:pPr>
      <w:rPr>
        <w:rFonts w:ascii="Courier New" w:hAnsi="Courier New" w:cs="Courier New" w:hint="default"/>
      </w:rPr>
    </w:lvl>
    <w:lvl w:ilvl="8" w:tplc="08090005" w:tentative="1">
      <w:start w:val="1"/>
      <w:numFmt w:val="bullet"/>
      <w:lvlText w:val=""/>
      <w:lvlJc w:val="left"/>
      <w:pPr>
        <w:ind w:left="7395" w:hanging="360"/>
      </w:pPr>
      <w:rPr>
        <w:rFonts w:ascii="Wingdings" w:hAnsi="Wingdings" w:hint="default"/>
      </w:rPr>
    </w:lvl>
  </w:abstractNum>
  <w:abstractNum w:abstractNumId="18">
    <w:nsid w:val="560E0D84"/>
    <w:multiLevelType w:val="hybridMultilevel"/>
    <w:tmpl w:val="8966B99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9">
    <w:nsid w:val="5A2D3055"/>
    <w:multiLevelType w:val="hybridMultilevel"/>
    <w:tmpl w:val="B30C75AA"/>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0">
    <w:nsid w:val="5AD91298"/>
    <w:multiLevelType w:val="hybridMultilevel"/>
    <w:tmpl w:val="2C60B2C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1">
    <w:nsid w:val="5B9F211E"/>
    <w:multiLevelType w:val="hybridMultilevel"/>
    <w:tmpl w:val="8988A9A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2">
    <w:nsid w:val="5F6563BC"/>
    <w:multiLevelType w:val="hybridMultilevel"/>
    <w:tmpl w:val="D7FEABA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3">
    <w:nsid w:val="62287756"/>
    <w:multiLevelType w:val="hybridMultilevel"/>
    <w:tmpl w:val="BF70CAE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4">
    <w:nsid w:val="64CD4EFC"/>
    <w:multiLevelType w:val="hybridMultilevel"/>
    <w:tmpl w:val="ABAEC73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5">
    <w:nsid w:val="752B5236"/>
    <w:multiLevelType w:val="hybridMultilevel"/>
    <w:tmpl w:val="4E26824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6">
    <w:nsid w:val="7B471BB9"/>
    <w:multiLevelType w:val="hybridMultilevel"/>
    <w:tmpl w:val="6C00CE8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7">
    <w:nsid w:val="7C1B5E88"/>
    <w:multiLevelType w:val="hybridMultilevel"/>
    <w:tmpl w:val="A7B0A1F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8">
    <w:nsid w:val="7D60126A"/>
    <w:multiLevelType w:val="hybridMultilevel"/>
    <w:tmpl w:val="5270FFE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16"/>
  </w:num>
  <w:num w:numId="2">
    <w:abstractNumId w:val="11"/>
  </w:num>
  <w:num w:numId="3">
    <w:abstractNumId w:val="3"/>
    <w:lvlOverride w:ilvl="0">
      <w:lvl w:ilvl="0">
        <w:start w:val="1"/>
        <w:numFmt w:val="decimal"/>
        <w:pStyle w:val="1TfGMHeading1"/>
        <w:lvlText w:val="%1"/>
        <w:lvlJc w:val="left"/>
        <w:pPr>
          <w:ind w:left="851" w:hanging="851"/>
        </w:pPr>
        <w:rPr>
          <w:rFonts w:ascii="Calibri" w:hAnsi="Calibri" w:hint="default"/>
          <w:b/>
          <w:i w:val="0"/>
          <w:sz w:val="26"/>
        </w:rPr>
      </w:lvl>
    </w:lvlOverride>
  </w:num>
  <w:num w:numId="4">
    <w:abstractNumId w:val="28"/>
  </w:num>
  <w:num w:numId="5">
    <w:abstractNumId w:val="22"/>
  </w:num>
  <w:num w:numId="6">
    <w:abstractNumId w:val="12"/>
  </w:num>
  <w:num w:numId="7">
    <w:abstractNumId w:val="19"/>
  </w:num>
  <w:num w:numId="8">
    <w:abstractNumId w:val="17"/>
  </w:num>
  <w:num w:numId="9">
    <w:abstractNumId w:val="3"/>
  </w:num>
  <w:num w:numId="10">
    <w:abstractNumId w:val="3"/>
  </w:num>
  <w:num w:numId="11">
    <w:abstractNumId w:val="3"/>
  </w:num>
  <w:num w:numId="12">
    <w:abstractNumId w:val="3"/>
  </w:num>
  <w:num w:numId="13">
    <w:abstractNumId w:val="4"/>
  </w:num>
  <w:num w:numId="14">
    <w:abstractNumId w:val="1"/>
  </w:num>
  <w:num w:numId="15">
    <w:abstractNumId w:val="26"/>
  </w:num>
  <w:num w:numId="16">
    <w:abstractNumId w:val="7"/>
  </w:num>
  <w:num w:numId="17">
    <w:abstractNumId w:val="5"/>
  </w:num>
  <w:num w:numId="18">
    <w:abstractNumId w:val="3"/>
  </w:num>
  <w:num w:numId="19">
    <w:abstractNumId w:val="24"/>
  </w:num>
  <w:num w:numId="20">
    <w:abstractNumId w:val="18"/>
  </w:num>
  <w:num w:numId="21">
    <w:abstractNumId w:val="23"/>
  </w:num>
  <w:num w:numId="22">
    <w:abstractNumId w:val="3"/>
  </w:num>
  <w:num w:numId="23">
    <w:abstractNumId w:val="3"/>
  </w:num>
  <w:num w:numId="24">
    <w:abstractNumId w:val="3"/>
  </w:num>
  <w:num w:numId="25">
    <w:abstractNumId w:val="3"/>
  </w:num>
  <w:num w:numId="26">
    <w:abstractNumId w:val="8"/>
  </w:num>
  <w:num w:numId="27">
    <w:abstractNumId w:val="3"/>
  </w:num>
  <w:num w:numId="28">
    <w:abstractNumId w:val="3"/>
  </w:num>
  <w:num w:numId="29">
    <w:abstractNumId w:val="10"/>
  </w:num>
  <w:num w:numId="30">
    <w:abstractNumId w:val="15"/>
  </w:num>
  <w:num w:numId="31">
    <w:abstractNumId w:val="25"/>
  </w:num>
  <w:num w:numId="32">
    <w:abstractNumId w:val="3"/>
  </w:num>
  <w:num w:numId="33">
    <w:abstractNumId w:val="3"/>
  </w:num>
  <w:num w:numId="34">
    <w:abstractNumId w:val="9"/>
  </w:num>
  <w:num w:numId="35">
    <w:abstractNumId w:val="6"/>
  </w:num>
  <w:num w:numId="36">
    <w:abstractNumId w:val="3"/>
  </w:num>
  <w:num w:numId="37">
    <w:abstractNumId w:val="0"/>
  </w:num>
  <w:num w:numId="38">
    <w:abstractNumId w:val="2"/>
  </w:num>
  <w:num w:numId="39">
    <w:abstractNumId w:val="20"/>
  </w:num>
  <w:num w:numId="40">
    <w:abstractNumId w:val="3"/>
  </w:num>
  <w:num w:numId="41">
    <w:abstractNumId w:val="13"/>
  </w:num>
  <w:num w:numId="42">
    <w:abstractNumId w:val="3"/>
  </w:num>
  <w:num w:numId="43">
    <w:abstractNumId w:val="21"/>
  </w:num>
  <w:num w:numId="44">
    <w:abstractNumId w:val="3"/>
  </w:num>
  <w:num w:numId="45">
    <w:abstractNumId w:val="3"/>
  </w:num>
  <w:num w:numId="46">
    <w:abstractNumId w:val="3"/>
  </w:num>
  <w:num w:numId="47">
    <w:abstractNumId w:val="3"/>
  </w:num>
  <w:num w:numId="48">
    <w:abstractNumId w:val="14"/>
  </w:num>
  <w:num w:numId="4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
    <w:lvlOverride w:ilvl="1">
      <w:lvl w:ilvl="1">
        <w:start w:val="1"/>
        <w:numFmt w:val="decimal"/>
        <w:pStyle w:val="2TfGMHeading2"/>
        <w:lvlText w:val="%1.%2"/>
        <w:lvlJc w:val="left"/>
        <w:pPr>
          <w:ind w:left="851" w:hanging="851"/>
        </w:pPr>
        <w:rPr>
          <w:rFonts w:ascii="Calibri" w:hAnsi="Calibri" w:hint="default"/>
          <w:i w:val="0"/>
          <w:sz w:val="26"/>
        </w:rPr>
      </w:lvl>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1B7"/>
    <w:rsid w:val="00003D01"/>
    <w:rsid w:val="000064A2"/>
    <w:rsid w:val="00013C2F"/>
    <w:rsid w:val="0001785B"/>
    <w:rsid w:val="00021FAA"/>
    <w:rsid w:val="00022188"/>
    <w:rsid w:val="00035776"/>
    <w:rsid w:val="00054018"/>
    <w:rsid w:val="00087ED9"/>
    <w:rsid w:val="00094A70"/>
    <w:rsid w:val="00095236"/>
    <w:rsid w:val="000960A4"/>
    <w:rsid w:val="000B625F"/>
    <w:rsid w:val="000C0EAA"/>
    <w:rsid w:val="000C441C"/>
    <w:rsid w:val="000E1D63"/>
    <w:rsid w:val="000E5D69"/>
    <w:rsid w:val="000E6E93"/>
    <w:rsid w:val="00101900"/>
    <w:rsid w:val="001019DD"/>
    <w:rsid w:val="001055AD"/>
    <w:rsid w:val="001144F1"/>
    <w:rsid w:val="00116047"/>
    <w:rsid w:val="001225F8"/>
    <w:rsid w:val="001276FC"/>
    <w:rsid w:val="00133109"/>
    <w:rsid w:val="00143EB0"/>
    <w:rsid w:val="001511DA"/>
    <w:rsid w:val="001536B7"/>
    <w:rsid w:val="00172639"/>
    <w:rsid w:val="0017729D"/>
    <w:rsid w:val="00181E81"/>
    <w:rsid w:val="001835D7"/>
    <w:rsid w:val="00192FBD"/>
    <w:rsid w:val="00193EAE"/>
    <w:rsid w:val="00195FCC"/>
    <w:rsid w:val="00197A37"/>
    <w:rsid w:val="001B5BCC"/>
    <w:rsid w:val="001B6D6A"/>
    <w:rsid w:val="001C62FA"/>
    <w:rsid w:val="001F2676"/>
    <w:rsid w:val="001F5C7B"/>
    <w:rsid w:val="00202C02"/>
    <w:rsid w:val="0022332B"/>
    <w:rsid w:val="002252A1"/>
    <w:rsid w:val="002452F8"/>
    <w:rsid w:val="002461F2"/>
    <w:rsid w:val="002618FD"/>
    <w:rsid w:val="00271AF7"/>
    <w:rsid w:val="00281E30"/>
    <w:rsid w:val="00281F59"/>
    <w:rsid w:val="00286CF4"/>
    <w:rsid w:val="00290EF0"/>
    <w:rsid w:val="00295B87"/>
    <w:rsid w:val="00295C1D"/>
    <w:rsid w:val="002A6DEC"/>
    <w:rsid w:val="002A7CFC"/>
    <w:rsid w:val="002C1A69"/>
    <w:rsid w:val="002C40AE"/>
    <w:rsid w:val="002D48CC"/>
    <w:rsid w:val="002E1A66"/>
    <w:rsid w:val="002F1371"/>
    <w:rsid w:val="003060A7"/>
    <w:rsid w:val="00324F5E"/>
    <w:rsid w:val="0033265D"/>
    <w:rsid w:val="00340458"/>
    <w:rsid w:val="00354D71"/>
    <w:rsid w:val="0037134E"/>
    <w:rsid w:val="00371A8D"/>
    <w:rsid w:val="00382D2B"/>
    <w:rsid w:val="00387226"/>
    <w:rsid w:val="00396A8A"/>
    <w:rsid w:val="003A00BA"/>
    <w:rsid w:val="003A69E6"/>
    <w:rsid w:val="003B5F21"/>
    <w:rsid w:val="003B6934"/>
    <w:rsid w:val="003C5A99"/>
    <w:rsid w:val="003C7A7A"/>
    <w:rsid w:val="003D01C9"/>
    <w:rsid w:val="003D3F20"/>
    <w:rsid w:val="003F1D9D"/>
    <w:rsid w:val="003F1E1F"/>
    <w:rsid w:val="003F4A81"/>
    <w:rsid w:val="00405FB4"/>
    <w:rsid w:val="004252EA"/>
    <w:rsid w:val="00430E56"/>
    <w:rsid w:val="00461D85"/>
    <w:rsid w:val="00464F7B"/>
    <w:rsid w:val="004804C5"/>
    <w:rsid w:val="0048070D"/>
    <w:rsid w:val="004817F1"/>
    <w:rsid w:val="00482EF3"/>
    <w:rsid w:val="0048681A"/>
    <w:rsid w:val="00490C15"/>
    <w:rsid w:val="00497082"/>
    <w:rsid w:val="004A1999"/>
    <w:rsid w:val="004A2D4B"/>
    <w:rsid w:val="004A442F"/>
    <w:rsid w:val="004C0683"/>
    <w:rsid w:val="004D0240"/>
    <w:rsid w:val="004E04AC"/>
    <w:rsid w:val="00501F00"/>
    <w:rsid w:val="0051350C"/>
    <w:rsid w:val="0051477E"/>
    <w:rsid w:val="0051548A"/>
    <w:rsid w:val="005208FE"/>
    <w:rsid w:val="0052439E"/>
    <w:rsid w:val="005319B4"/>
    <w:rsid w:val="00553C58"/>
    <w:rsid w:val="00562F88"/>
    <w:rsid w:val="005728C6"/>
    <w:rsid w:val="00585124"/>
    <w:rsid w:val="005C6249"/>
    <w:rsid w:val="005D39FA"/>
    <w:rsid w:val="005D6DDF"/>
    <w:rsid w:val="005E12CC"/>
    <w:rsid w:val="005F5457"/>
    <w:rsid w:val="00622735"/>
    <w:rsid w:val="006302F8"/>
    <w:rsid w:val="0063165E"/>
    <w:rsid w:val="00637B63"/>
    <w:rsid w:val="0064322E"/>
    <w:rsid w:val="00643B3F"/>
    <w:rsid w:val="00651ED5"/>
    <w:rsid w:val="00651F82"/>
    <w:rsid w:val="00656C94"/>
    <w:rsid w:val="00663CBE"/>
    <w:rsid w:val="006750E7"/>
    <w:rsid w:val="00681D98"/>
    <w:rsid w:val="00694F56"/>
    <w:rsid w:val="00694F73"/>
    <w:rsid w:val="006A62F5"/>
    <w:rsid w:val="006E5679"/>
    <w:rsid w:val="006F040C"/>
    <w:rsid w:val="006F1E3E"/>
    <w:rsid w:val="00704762"/>
    <w:rsid w:val="007130EB"/>
    <w:rsid w:val="00713B0B"/>
    <w:rsid w:val="0072701B"/>
    <w:rsid w:val="007401AA"/>
    <w:rsid w:val="00745E30"/>
    <w:rsid w:val="00747CB6"/>
    <w:rsid w:val="00772BDB"/>
    <w:rsid w:val="00781407"/>
    <w:rsid w:val="00783D6C"/>
    <w:rsid w:val="007873DF"/>
    <w:rsid w:val="00793A87"/>
    <w:rsid w:val="00794704"/>
    <w:rsid w:val="00797CAD"/>
    <w:rsid w:val="007A068D"/>
    <w:rsid w:val="007A7514"/>
    <w:rsid w:val="007B337D"/>
    <w:rsid w:val="007B532B"/>
    <w:rsid w:val="007B64A7"/>
    <w:rsid w:val="007C13BD"/>
    <w:rsid w:val="007E187D"/>
    <w:rsid w:val="007F0FA3"/>
    <w:rsid w:val="008016B9"/>
    <w:rsid w:val="00802F0A"/>
    <w:rsid w:val="008118BF"/>
    <w:rsid w:val="008175FB"/>
    <w:rsid w:val="008414F5"/>
    <w:rsid w:val="00850EBF"/>
    <w:rsid w:val="00852D53"/>
    <w:rsid w:val="00854B98"/>
    <w:rsid w:val="00867492"/>
    <w:rsid w:val="00872FD8"/>
    <w:rsid w:val="00873B1D"/>
    <w:rsid w:val="00882637"/>
    <w:rsid w:val="00883F86"/>
    <w:rsid w:val="00891718"/>
    <w:rsid w:val="00892884"/>
    <w:rsid w:val="008A0D0C"/>
    <w:rsid w:val="008A43E9"/>
    <w:rsid w:val="008A50EA"/>
    <w:rsid w:val="008C6034"/>
    <w:rsid w:val="008D291A"/>
    <w:rsid w:val="008D368F"/>
    <w:rsid w:val="008F00F6"/>
    <w:rsid w:val="008F7D09"/>
    <w:rsid w:val="00900316"/>
    <w:rsid w:val="00916805"/>
    <w:rsid w:val="00924B0F"/>
    <w:rsid w:val="0093405E"/>
    <w:rsid w:val="00965703"/>
    <w:rsid w:val="0097047B"/>
    <w:rsid w:val="00971626"/>
    <w:rsid w:val="00973E24"/>
    <w:rsid w:val="00984150"/>
    <w:rsid w:val="00991E30"/>
    <w:rsid w:val="00992181"/>
    <w:rsid w:val="00997868"/>
    <w:rsid w:val="009B18D4"/>
    <w:rsid w:val="009B3E1A"/>
    <w:rsid w:val="009B7C9A"/>
    <w:rsid w:val="009C4909"/>
    <w:rsid w:val="009C6DEA"/>
    <w:rsid w:val="009D42C2"/>
    <w:rsid w:val="009E6AF7"/>
    <w:rsid w:val="009F1CC2"/>
    <w:rsid w:val="009F34BB"/>
    <w:rsid w:val="009F5307"/>
    <w:rsid w:val="00A157A2"/>
    <w:rsid w:val="00A25BF5"/>
    <w:rsid w:val="00A404AE"/>
    <w:rsid w:val="00A4671E"/>
    <w:rsid w:val="00A52DFF"/>
    <w:rsid w:val="00A63F83"/>
    <w:rsid w:val="00A662BA"/>
    <w:rsid w:val="00A71D4B"/>
    <w:rsid w:val="00A74173"/>
    <w:rsid w:val="00A92BB9"/>
    <w:rsid w:val="00AA37D0"/>
    <w:rsid w:val="00AB6A3B"/>
    <w:rsid w:val="00AC55BF"/>
    <w:rsid w:val="00AE1117"/>
    <w:rsid w:val="00AE2EDC"/>
    <w:rsid w:val="00AF1C5A"/>
    <w:rsid w:val="00AF3467"/>
    <w:rsid w:val="00B0253C"/>
    <w:rsid w:val="00B0336B"/>
    <w:rsid w:val="00B154FC"/>
    <w:rsid w:val="00B15B65"/>
    <w:rsid w:val="00B2178D"/>
    <w:rsid w:val="00B2323F"/>
    <w:rsid w:val="00B251FD"/>
    <w:rsid w:val="00B257B2"/>
    <w:rsid w:val="00B33785"/>
    <w:rsid w:val="00B468AB"/>
    <w:rsid w:val="00B50474"/>
    <w:rsid w:val="00B50FDD"/>
    <w:rsid w:val="00B5391D"/>
    <w:rsid w:val="00B5681A"/>
    <w:rsid w:val="00B6286E"/>
    <w:rsid w:val="00B675CC"/>
    <w:rsid w:val="00B74FB3"/>
    <w:rsid w:val="00B80D35"/>
    <w:rsid w:val="00B842BB"/>
    <w:rsid w:val="00B85FF8"/>
    <w:rsid w:val="00B90925"/>
    <w:rsid w:val="00B944A1"/>
    <w:rsid w:val="00B95A20"/>
    <w:rsid w:val="00BB0889"/>
    <w:rsid w:val="00BB2B9F"/>
    <w:rsid w:val="00BB3AEF"/>
    <w:rsid w:val="00BD23DC"/>
    <w:rsid w:val="00BD5B5D"/>
    <w:rsid w:val="00BE045D"/>
    <w:rsid w:val="00C1095A"/>
    <w:rsid w:val="00C17D5F"/>
    <w:rsid w:val="00C24086"/>
    <w:rsid w:val="00C241E1"/>
    <w:rsid w:val="00C41972"/>
    <w:rsid w:val="00C513C2"/>
    <w:rsid w:val="00C60972"/>
    <w:rsid w:val="00C741BA"/>
    <w:rsid w:val="00C75439"/>
    <w:rsid w:val="00C865F9"/>
    <w:rsid w:val="00CC1C8F"/>
    <w:rsid w:val="00CC511B"/>
    <w:rsid w:val="00CC626D"/>
    <w:rsid w:val="00CC7D32"/>
    <w:rsid w:val="00CC7F49"/>
    <w:rsid w:val="00CD6F8B"/>
    <w:rsid w:val="00CE15DF"/>
    <w:rsid w:val="00CE396E"/>
    <w:rsid w:val="00CE3BAB"/>
    <w:rsid w:val="00CE48EF"/>
    <w:rsid w:val="00CE6F41"/>
    <w:rsid w:val="00CF1F6D"/>
    <w:rsid w:val="00CF78A5"/>
    <w:rsid w:val="00D32368"/>
    <w:rsid w:val="00D41F10"/>
    <w:rsid w:val="00D567C0"/>
    <w:rsid w:val="00D5760E"/>
    <w:rsid w:val="00D625E3"/>
    <w:rsid w:val="00D91854"/>
    <w:rsid w:val="00D92C16"/>
    <w:rsid w:val="00DA31E8"/>
    <w:rsid w:val="00DA67D6"/>
    <w:rsid w:val="00DB18FF"/>
    <w:rsid w:val="00DC54BB"/>
    <w:rsid w:val="00DD6D9A"/>
    <w:rsid w:val="00DE76FB"/>
    <w:rsid w:val="00DF0AEA"/>
    <w:rsid w:val="00E001AA"/>
    <w:rsid w:val="00E10A0F"/>
    <w:rsid w:val="00E20A32"/>
    <w:rsid w:val="00E331B7"/>
    <w:rsid w:val="00E33F4D"/>
    <w:rsid w:val="00E40CFC"/>
    <w:rsid w:val="00E41FA4"/>
    <w:rsid w:val="00E56AEE"/>
    <w:rsid w:val="00E63736"/>
    <w:rsid w:val="00E72482"/>
    <w:rsid w:val="00E81004"/>
    <w:rsid w:val="00EB0CA2"/>
    <w:rsid w:val="00EC65A5"/>
    <w:rsid w:val="00EC7C6E"/>
    <w:rsid w:val="00ED73CC"/>
    <w:rsid w:val="00F01248"/>
    <w:rsid w:val="00F02D20"/>
    <w:rsid w:val="00F174A5"/>
    <w:rsid w:val="00F3129B"/>
    <w:rsid w:val="00F32A41"/>
    <w:rsid w:val="00F52EEE"/>
    <w:rsid w:val="00F61B4C"/>
    <w:rsid w:val="00F7669C"/>
    <w:rsid w:val="00F9362C"/>
    <w:rsid w:val="00F936E3"/>
    <w:rsid w:val="00FB5E7D"/>
    <w:rsid w:val="00FB66A5"/>
    <w:rsid w:val="00FC450D"/>
    <w:rsid w:val="00FD04A6"/>
    <w:rsid w:val="00FD5B3F"/>
    <w:rsid w:val="00FE7248"/>
    <w:rsid w:val="00FF28BB"/>
    <w:rsid w:val="00FF4C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2529F8E1"/>
  <w15:docId w15:val="{F5192734-CB83-4106-BB6F-3F05A7FB5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24"/>
        <w:szCs w:val="24"/>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7A2"/>
  </w:style>
  <w:style w:type="paragraph" w:styleId="Heading7">
    <w:name w:val="heading 7"/>
    <w:basedOn w:val="Normal"/>
    <w:next w:val="Normal"/>
    <w:link w:val="Heading7Char"/>
    <w:semiHidden/>
    <w:unhideWhenUsed/>
    <w:qFormat/>
    <w:rsid w:val="006302F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fGMHeading1">
    <w:name w:val="#1 TfGM Heading 1"/>
    <w:next w:val="2TfGMHeading2"/>
    <w:uiPriority w:val="99"/>
    <w:qFormat/>
    <w:rsid w:val="007F0FA3"/>
    <w:pPr>
      <w:numPr>
        <w:numId w:val="3"/>
      </w:numPr>
      <w:spacing w:before="480" w:after="480"/>
    </w:pPr>
    <w:rPr>
      <w:rFonts w:ascii="Calibri" w:hAnsi="Calibri"/>
      <w:b/>
      <w:sz w:val="26"/>
    </w:rPr>
  </w:style>
  <w:style w:type="paragraph" w:customStyle="1" w:styleId="2TfGMHeading2">
    <w:name w:val="#2 TfGM Heading 2"/>
    <w:basedOn w:val="1TfGMHeading1"/>
    <w:uiPriority w:val="99"/>
    <w:qFormat/>
    <w:rsid w:val="0064322E"/>
    <w:pPr>
      <w:numPr>
        <w:ilvl w:val="1"/>
      </w:numPr>
      <w:spacing w:before="240" w:after="240"/>
    </w:pPr>
    <w:rPr>
      <w:b w:val="0"/>
    </w:rPr>
  </w:style>
  <w:style w:type="paragraph" w:customStyle="1" w:styleId="3TfGMHeading3">
    <w:name w:val="#3 TfGM Heading 3"/>
    <w:basedOn w:val="2TfGMHeading2"/>
    <w:uiPriority w:val="99"/>
    <w:qFormat/>
    <w:rsid w:val="0064322E"/>
    <w:pPr>
      <w:numPr>
        <w:ilvl w:val="2"/>
      </w:numPr>
    </w:pPr>
  </w:style>
  <w:style w:type="paragraph" w:customStyle="1" w:styleId="4TfGMBullet1">
    <w:name w:val="#4 TfGM Bullet 1"/>
    <w:basedOn w:val="3TfGMHeading3"/>
    <w:uiPriority w:val="99"/>
    <w:qFormat/>
    <w:rsid w:val="0064322E"/>
    <w:pPr>
      <w:numPr>
        <w:ilvl w:val="3"/>
      </w:numPr>
      <w:spacing w:before="120" w:after="120"/>
    </w:pPr>
  </w:style>
  <w:style w:type="paragraph" w:customStyle="1" w:styleId="5TfGMBullet2">
    <w:name w:val="#5 TfGM Bullet 2"/>
    <w:basedOn w:val="4TfGMBullet1"/>
    <w:uiPriority w:val="99"/>
    <w:qFormat/>
    <w:rsid w:val="0064322E"/>
    <w:pPr>
      <w:numPr>
        <w:ilvl w:val="4"/>
      </w:numPr>
    </w:pPr>
  </w:style>
  <w:style w:type="paragraph" w:customStyle="1" w:styleId="6TfGMRecommendations">
    <w:name w:val="#6 TfGM Recommendations"/>
    <w:basedOn w:val="5TfGMBullet2"/>
    <w:uiPriority w:val="99"/>
    <w:qFormat/>
    <w:rsid w:val="00DE76FB"/>
    <w:pPr>
      <w:numPr>
        <w:ilvl w:val="5"/>
      </w:numPr>
    </w:pPr>
  </w:style>
  <w:style w:type="numbering" w:customStyle="1" w:styleId="GMPTEList">
    <w:name w:val="#GMPTE List"/>
    <w:rsid w:val="0064322E"/>
    <w:pPr>
      <w:numPr>
        <w:numId w:val="1"/>
      </w:numPr>
    </w:pPr>
  </w:style>
  <w:style w:type="paragraph" w:styleId="Header">
    <w:name w:val="header"/>
    <w:basedOn w:val="Normal"/>
    <w:link w:val="HeaderChar"/>
    <w:uiPriority w:val="99"/>
    <w:rsid w:val="0072701B"/>
    <w:pPr>
      <w:tabs>
        <w:tab w:val="center" w:pos="4513"/>
        <w:tab w:val="right" w:pos="9026"/>
      </w:tabs>
    </w:pPr>
  </w:style>
  <w:style w:type="character" w:customStyle="1" w:styleId="HeaderChar">
    <w:name w:val="Header Char"/>
    <w:basedOn w:val="DefaultParagraphFont"/>
    <w:link w:val="Header"/>
    <w:uiPriority w:val="99"/>
    <w:rsid w:val="0072701B"/>
  </w:style>
  <w:style w:type="paragraph" w:styleId="Footer">
    <w:name w:val="footer"/>
    <w:basedOn w:val="Normal"/>
    <w:link w:val="FooterChar"/>
    <w:uiPriority w:val="99"/>
    <w:rsid w:val="0072701B"/>
    <w:pPr>
      <w:tabs>
        <w:tab w:val="center" w:pos="4513"/>
        <w:tab w:val="right" w:pos="9026"/>
      </w:tabs>
    </w:pPr>
  </w:style>
  <w:style w:type="character" w:customStyle="1" w:styleId="FooterChar">
    <w:name w:val="Footer Char"/>
    <w:basedOn w:val="DefaultParagraphFont"/>
    <w:link w:val="Footer"/>
    <w:uiPriority w:val="99"/>
    <w:rsid w:val="0072701B"/>
  </w:style>
  <w:style w:type="paragraph" w:styleId="BalloonText">
    <w:name w:val="Balloon Text"/>
    <w:basedOn w:val="Normal"/>
    <w:link w:val="BalloonTextChar"/>
    <w:rsid w:val="00713B0B"/>
    <w:rPr>
      <w:rFonts w:ascii="Tahoma" w:hAnsi="Tahoma" w:cs="Tahoma"/>
      <w:sz w:val="16"/>
      <w:szCs w:val="16"/>
    </w:rPr>
  </w:style>
  <w:style w:type="character" w:customStyle="1" w:styleId="BalloonTextChar">
    <w:name w:val="Balloon Text Char"/>
    <w:basedOn w:val="DefaultParagraphFont"/>
    <w:link w:val="BalloonText"/>
    <w:rsid w:val="00713B0B"/>
    <w:rPr>
      <w:rFonts w:ascii="Tahoma" w:hAnsi="Tahoma" w:cs="Tahoma"/>
      <w:sz w:val="16"/>
      <w:szCs w:val="16"/>
    </w:rPr>
  </w:style>
  <w:style w:type="character" w:styleId="SubtleEmphasis">
    <w:name w:val="Subtle Emphasis"/>
    <w:basedOn w:val="DefaultParagraphFont"/>
    <w:uiPriority w:val="19"/>
    <w:qFormat/>
    <w:rsid w:val="00482EF3"/>
    <w:rPr>
      <w:i/>
      <w:iCs/>
      <w:color w:val="7F7F7F" w:themeColor="text1" w:themeTint="80"/>
    </w:rPr>
  </w:style>
  <w:style w:type="table" w:styleId="Table3Deffects3">
    <w:name w:val="Table 3D effects 3"/>
    <w:basedOn w:val="TableNormal"/>
    <w:rsid w:val="00482EF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GMPTETable">
    <w:name w:val="GMPTE Table"/>
    <w:basedOn w:val="Normal"/>
    <w:qFormat/>
    <w:rsid w:val="00482EF3"/>
    <w:rPr>
      <w:b/>
      <w:bCs/>
      <w:lang w:eastAsia="en-US"/>
    </w:rPr>
  </w:style>
  <w:style w:type="paragraph" w:customStyle="1" w:styleId="8TfGMStandardDocumentText">
    <w:name w:val="#8 TfGM Standard Document Text"/>
    <w:qFormat/>
    <w:rsid w:val="007F0FA3"/>
    <w:pPr>
      <w:spacing w:after="240"/>
    </w:pPr>
    <w:rPr>
      <w:rFonts w:ascii="Calibri" w:hAnsi="Calibri"/>
      <w:sz w:val="26"/>
    </w:rPr>
  </w:style>
  <w:style w:type="paragraph" w:customStyle="1" w:styleId="TfGMReportHeading">
    <w:name w:val="##TfGM Report Heading"/>
    <w:next w:val="1TfGMHeading1"/>
    <w:qFormat/>
    <w:rsid w:val="007F0FA3"/>
    <w:pPr>
      <w:spacing w:after="480"/>
      <w:ind w:left="851"/>
    </w:pPr>
    <w:rPr>
      <w:rFonts w:ascii="Calibri" w:eastAsiaTheme="majorEastAsia" w:hAnsi="Calibri" w:cstheme="majorBidi"/>
      <w:b/>
      <w:noProof/>
      <w:sz w:val="26"/>
      <w:szCs w:val="44"/>
      <w:lang w:eastAsia="en-US"/>
    </w:rPr>
  </w:style>
  <w:style w:type="paragraph" w:customStyle="1" w:styleId="TfGMDocumentHeading">
    <w:name w:val="##TfGM Document Heading"/>
    <w:next w:val="8TfGMStandardDocumentText"/>
    <w:qFormat/>
    <w:rsid w:val="007F0FA3"/>
    <w:pPr>
      <w:spacing w:after="480"/>
    </w:pPr>
    <w:rPr>
      <w:rFonts w:ascii="Calibri" w:eastAsiaTheme="majorEastAsia" w:hAnsi="Calibri" w:cstheme="majorBidi"/>
      <w:b/>
      <w:noProof/>
      <w:sz w:val="26"/>
      <w:szCs w:val="44"/>
      <w:lang w:eastAsia="en-US"/>
    </w:rPr>
  </w:style>
  <w:style w:type="paragraph" w:styleId="TOC1">
    <w:name w:val="toc 1"/>
    <w:basedOn w:val="Normal"/>
    <w:next w:val="Normal"/>
    <w:autoRedefine/>
    <w:rsid w:val="00E56AEE"/>
    <w:pPr>
      <w:spacing w:after="100"/>
    </w:pPr>
  </w:style>
  <w:style w:type="numbering" w:customStyle="1" w:styleId="GMPTEReportList">
    <w:name w:val="GMPTE Report List"/>
    <w:uiPriority w:val="99"/>
    <w:rsid w:val="006302F8"/>
    <w:pPr>
      <w:numPr>
        <w:numId w:val="2"/>
      </w:numPr>
    </w:pPr>
  </w:style>
  <w:style w:type="character" w:customStyle="1" w:styleId="Heading7Char">
    <w:name w:val="Heading 7 Char"/>
    <w:basedOn w:val="DefaultParagraphFont"/>
    <w:link w:val="Heading7"/>
    <w:semiHidden/>
    <w:rsid w:val="006302F8"/>
    <w:rPr>
      <w:rFonts w:asciiTheme="majorHAnsi" w:eastAsiaTheme="majorEastAsia" w:hAnsiTheme="majorHAnsi" w:cstheme="majorBidi"/>
      <w:i/>
      <w:iCs/>
      <w:color w:val="404040" w:themeColor="text1" w:themeTint="BF"/>
    </w:rPr>
  </w:style>
  <w:style w:type="paragraph" w:customStyle="1" w:styleId="7TfGMStandardReportText">
    <w:name w:val="#7 TfGM Standard Report Text"/>
    <w:qFormat/>
    <w:rsid w:val="007F0FA3"/>
    <w:pPr>
      <w:spacing w:before="240" w:after="240"/>
      <w:ind w:left="851"/>
    </w:pPr>
    <w:rPr>
      <w:rFonts w:ascii="Calibri" w:hAnsi="Calibri"/>
      <w:sz w:val="26"/>
    </w:rPr>
  </w:style>
  <w:style w:type="paragraph" w:styleId="Subtitle">
    <w:name w:val="Subtitle"/>
    <w:basedOn w:val="Normal"/>
    <w:next w:val="Normal"/>
    <w:link w:val="SubtitleChar"/>
    <w:autoRedefine/>
    <w:uiPriority w:val="11"/>
    <w:qFormat/>
    <w:rsid w:val="007401AA"/>
    <w:pPr>
      <w:numPr>
        <w:ilvl w:val="1"/>
      </w:numPr>
    </w:pPr>
    <w:rPr>
      <w:rFonts w:asciiTheme="minorHAnsi" w:eastAsiaTheme="majorEastAsia" w:hAnsiTheme="minorHAnsi" w:cstheme="minorHAnsi"/>
      <w:b/>
      <w:noProof/>
      <w:sz w:val="36"/>
      <w:szCs w:val="26"/>
      <w:lang w:eastAsia="en-US"/>
    </w:rPr>
  </w:style>
  <w:style w:type="character" w:customStyle="1" w:styleId="SubtitleChar">
    <w:name w:val="Subtitle Char"/>
    <w:basedOn w:val="DefaultParagraphFont"/>
    <w:link w:val="Subtitle"/>
    <w:uiPriority w:val="11"/>
    <w:rsid w:val="007401AA"/>
    <w:rPr>
      <w:rFonts w:asciiTheme="minorHAnsi" w:eastAsiaTheme="majorEastAsia" w:hAnsiTheme="minorHAnsi" w:cstheme="minorHAnsi"/>
      <w:b/>
      <w:noProof/>
      <w:sz w:val="36"/>
      <w:szCs w:val="26"/>
      <w:lang w:eastAsia="en-US"/>
    </w:rPr>
  </w:style>
  <w:style w:type="paragraph" w:customStyle="1" w:styleId="Reference">
    <w:name w:val="Reference"/>
    <w:basedOn w:val="Normal"/>
    <w:autoRedefine/>
    <w:qFormat/>
    <w:rsid w:val="007401AA"/>
    <w:pPr>
      <w:spacing w:line="264" w:lineRule="auto"/>
    </w:pPr>
    <w:rPr>
      <w:rFonts w:ascii="Calibri" w:hAnsi="Calibri" w:cs="Times New Roman"/>
      <w:noProof/>
      <w:sz w:val="18"/>
      <w:lang w:eastAsia="en-US"/>
    </w:rPr>
  </w:style>
  <w:style w:type="paragraph" w:customStyle="1" w:styleId="letter">
    <w:name w:val="letter"/>
    <w:basedOn w:val="Normal"/>
    <w:rsid w:val="007401AA"/>
    <w:pPr>
      <w:spacing w:line="310" w:lineRule="exact"/>
    </w:pPr>
    <w:rPr>
      <w:rFonts w:cs="Times New Roman"/>
      <w:noProof/>
      <w:lang w:eastAsia="en-US"/>
    </w:rPr>
  </w:style>
  <w:style w:type="table" w:styleId="TableGrid">
    <w:name w:val="Table Grid"/>
    <w:basedOn w:val="TableNormal"/>
    <w:rsid w:val="00C17D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75439"/>
    <w:rPr>
      <w:color w:val="0000FF"/>
      <w:u w:val="single"/>
    </w:rPr>
  </w:style>
  <w:style w:type="character" w:styleId="Emphasis">
    <w:name w:val="Emphasis"/>
    <w:basedOn w:val="DefaultParagraphFont"/>
    <w:uiPriority w:val="20"/>
    <w:qFormat/>
    <w:rsid w:val="00C75439"/>
    <w:rPr>
      <w:i/>
      <w:iCs/>
    </w:rPr>
  </w:style>
  <w:style w:type="paragraph" w:styleId="ListParagraph">
    <w:name w:val="List Paragraph"/>
    <w:basedOn w:val="Normal"/>
    <w:uiPriority w:val="34"/>
    <w:qFormat/>
    <w:rsid w:val="006750E7"/>
    <w:pPr>
      <w:ind w:left="720"/>
      <w:contextualSpacing/>
    </w:pPr>
  </w:style>
  <w:style w:type="paragraph" w:styleId="EndnoteText">
    <w:name w:val="endnote text"/>
    <w:basedOn w:val="Normal"/>
    <w:link w:val="EndnoteTextChar"/>
    <w:semiHidden/>
    <w:unhideWhenUsed/>
    <w:rsid w:val="00CE3BAB"/>
    <w:rPr>
      <w:sz w:val="20"/>
      <w:szCs w:val="20"/>
    </w:rPr>
  </w:style>
  <w:style w:type="character" w:customStyle="1" w:styleId="EndnoteTextChar">
    <w:name w:val="Endnote Text Char"/>
    <w:basedOn w:val="DefaultParagraphFont"/>
    <w:link w:val="EndnoteText"/>
    <w:semiHidden/>
    <w:rsid w:val="00CE3BAB"/>
    <w:rPr>
      <w:sz w:val="20"/>
      <w:szCs w:val="20"/>
    </w:rPr>
  </w:style>
  <w:style w:type="character" w:styleId="EndnoteReference">
    <w:name w:val="endnote reference"/>
    <w:basedOn w:val="DefaultParagraphFont"/>
    <w:semiHidden/>
    <w:unhideWhenUsed/>
    <w:rsid w:val="00CE3BAB"/>
    <w:rPr>
      <w:vertAlign w:val="superscript"/>
    </w:rPr>
  </w:style>
  <w:style w:type="paragraph" w:styleId="FootnoteText">
    <w:name w:val="footnote text"/>
    <w:basedOn w:val="Normal"/>
    <w:link w:val="FootnoteTextChar"/>
    <w:semiHidden/>
    <w:unhideWhenUsed/>
    <w:rsid w:val="0001785B"/>
    <w:rPr>
      <w:sz w:val="20"/>
      <w:szCs w:val="20"/>
    </w:rPr>
  </w:style>
  <w:style w:type="character" w:customStyle="1" w:styleId="FootnoteTextChar">
    <w:name w:val="Footnote Text Char"/>
    <w:basedOn w:val="DefaultParagraphFont"/>
    <w:link w:val="FootnoteText"/>
    <w:semiHidden/>
    <w:rsid w:val="0001785B"/>
    <w:rPr>
      <w:sz w:val="20"/>
      <w:szCs w:val="20"/>
    </w:rPr>
  </w:style>
  <w:style w:type="character" w:styleId="FootnoteReference">
    <w:name w:val="footnote reference"/>
    <w:basedOn w:val="DefaultParagraphFont"/>
    <w:semiHidden/>
    <w:unhideWhenUsed/>
    <w:rsid w:val="000178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18399">
      <w:bodyDiv w:val="1"/>
      <w:marLeft w:val="0"/>
      <w:marRight w:val="0"/>
      <w:marTop w:val="0"/>
      <w:marBottom w:val="0"/>
      <w:divBdr>
        <w:top w:val="none" w:sz="0" w:space="0" w:color="auto"/>
        <w:left w:val="none" w:sz="0" w:space="0" w:color="auto"/>
        <w:bottom w:val="none" w:sz="0" w:space="0" w:color="auto"/>
        <w:right w:val="none" w:sz="0" w:space="0" w:color="auto"/>
      </w:divBdr>
    </w:div>
    <w:div w:id="283462859">
      <w:bodyDiv w:val="1"/>
      <w:marLeft w:val="0"/>
      <w:marRight w:val="0"/>
      <w:marTop w:val="0"/>
      <w:marBottom w:val="0"/>
      <w:divBdr>
        <w:top w:val="none" w:sz="0" w:space="0" w:color="auto"/>
        <w:left w:val="none" w:sz="0" w:space="0" w:color="auto"/>
        <w:bottom w:val="none" w:sz="0" w:space="0" w:color="auto"/>
        <w:right w:val="none" w:sz="0" w:space="0" w:color="auto"/>
      </w:divBdr>
    </w:div>
    <w:div w:id="366683024">
      <w:bodyDiv w:val="1"/>
      <w:marLeft w:val="0"/>
      <w:marRight w:val="0"/>
      <w:marTop w:val="0"/>
      <w:marBottom w:val="0"/>
      <w:divBdr>
        <w:top w:val="none" w:sz="0" w:space="0" w:color="auto"/>
        <w:left w:val="none" w:sz="0" w:space="0" w:color="auto"/>
        <w:bottom w:val="none" w:sz="0" w:space="0" w:color="auto"/>
        <w:right w:val="none" w:sz="0" w:space="0" w:color="auto"/>
      </w:divBdr>
    </w:div>
    <w:div w:id="1172111952">
      <w:bodyDiv w:val="1"/>
      <w:marLeft w:val="0"/>
      <w:marRight w:val="0"/>
      <w:marTop w:val="0"/>
      <w:marBottom w:val="0"/>
      <w:divBdr>
        <w:top w:val="none" w:sz="0" w:space="0" w:color="auto"/>
        <w:left w:val="none" w:sz="0" w:space="0" w:color="auto"/>
        <w:bottom w:val="none" w:sz="0" w:space="0" w:color="auto"/>
        <w:right w:val="none" w:sz="0" w:space="0" w:color="auto"/>
      </w:divBdr>
    </w:div>
    <w:div w:id="1197936198">
      <w:bodyDiv w:val="1"/>
      <w:marLeft w:val="0"/>
      <w:marRight w:val="0"/>
      <w:marTop w:val="0"/>
      <w:marBottom w:val="0"/>
      <w:divBdr>
        <w:top w:val="none" w:sz="0" w:space="0" w:color="auto"/>
        <w:left w:val="none" w:sz="0" w:space="0" w:color="auto"/>
        <w:bottom w:val="none" w:sz="0" w:space="0" w:color="auto"/>
        <w:right w:val="none" w:sz="0" w:space="0" w:color="auto"/>
      </w:divBdr>
    </w:div>
    <w:div w:id="1348287833">
      <w:bodyDiv w:val="1"/>
      <w:marLeft w:val="0"/>
      <w:marRight w:val="0"/>
      <w:marTop w:val="0"/>
      <w:marBottom w:val="0"/>
      <w:divBdr>
        <w:top w:val="none" w:sz="0" w:space="0" w:color="auto"/>
        <w:left w:val="none" w:sz="0" w:space="0" w:color="auto"/>
        <w:bottom w:val="none" w:sz="0" w:space="0" w:color="auto"/>
        <w:right w:val="none" w:sz="0" w:space="0" w:color="auto"/>
      </w:divBdr>
    </w:div>
    <w:div w:id="1370953136">
      <w:bodyDiv w:val="1"/>
      <w:marLeft w:val="0"/>
      <w:marRight w:val="0"/>
      <w:marTop w:val="0"/>
      <w:marBottom w:val="0"/>
      <w:divBdr>
        <w:top w:val="none" w:sz="0" w:space="0" w:color="auto"/>
        <w:left w:val="none" w:sz="0" w:space="0" w:color="auto"/>
        <w:bottom w:val="none" w:sz="0" w:space="0" w:color="auto"/>
        <w:right w:val="none" w:sz="0" w:space="0" w:color="auto"/>
      </w:divBdr>
    </w:div>
    <w:div w:id="1502816491">
      <w:bodyDiv w:val="1"/>
      <w:marLeft w:val="0"/>
      <w:marRight w:val="0"/>
      <w:marTop w:val="0"/>
      <w:marBottom w:val="0"/>
      <w:divBdr>
        <w:top w:val="none" w:sz="0" w:space="0" w:color="auto"/>
        <w:left w:val="none" w:sz="0" w:space="0" w:color="auto"/>
        <w:bottom w:val="none" w:sz="0" w:space="0" w:color="auto"/>
        <w:right w:val="none" w:sz="0" w:space="0" w:color="auto"/>
      </w:divBdr>
    </w:div>
    <w:div w:id="1711833049">
      <w:bodyDiv w:val="1"/>
      <w:marLeft w:val="0"/>
      <w:marRight w:val="0"/>
      <w:marTop w:val="0"/>
      <w:marBottom w:val="0"/>
      <w:divBdr>
        <w:top w:val="none" w:sz="0" w:space="0" w:color="auto"/>
        <w:left w:val="none" w:sz="0" w:space="0" w:color="auto"/>
        <w:bottom w:val="none" w:sz="0" w:space="0" w:color="auto"/>
        <w:right w:val="none" w:sz="0" w:space="0" w:color="auto"/>
      </w:divBdr>
    </w:div>
    <w:div w:id="1743214875">
      <w:bodyDiv w:val="1"/>
      <w:marLeft w:val="0"/>
      <w:marRight w:val="0"/>
      <w:marTop w:val="0"/>
      <w:marBottom w:val="0"/>
      <w:divBdr>
        <w:top w:val="none" w:sz="0" w:space="0" w:color="auto"/>
        <w:left w:val="none" w:sz="0" w:space="0" w:color="auto"/>
        <w:bottom w:val="none" w:sz="0" w:space="0" w:color="auto"/>
        <w:right w:val="none" w:sz="0" w:space="0" w:color="auto"/>
      </w:divBdr>
    </w:div>
    <w:div w:id="1935286534">
      <w:bodyDiv w:val="1"/>
      <w:marLeft w:val="0"/>
      <w:marRight w:val="0"/>
      <w:marTop w:val="0"/>
      <w:marBottom w:val="0"/>
      <w:divBdr>
        <w:top w:val="none" w:sz="0" w:space="0" w:color="auto"/>
        <w:left w:val="none" w:sz="0" w:space="0" w:color="auto"/>
        <w:bottom w:val="none" w:sz="0" w:space="0" w:color="auto"/>
        <w:right w:val="none" w:sz="0" w:space="0" w:color="auto"/>
      </w:divBdr>
    </w:div>
    <w:div w:id="19964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ophie.clare@tfgm.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Related_x0020_Area_x0020_in_x0020_Finance xmlns="7e878a90-c9e7-4866-915b-b0a231725374"/>
    <keywords xmlns="43bf7e8c-322a-46dd-b0f1-fbdd2099b13f">TfGM Blank Document Header Template</keywords>
    <Related_x0020_Area_x0020_In_x0020_Procurement xmlns="7e878a90-c9e7-4866-915b-b0a231725374"/>
    <documentpublished xmlns="43bf7e8c-322a-46dd-b0f1-fbdd2099b13f">2011-03-31T23:00:00+00:00</documentpublished>
    <spotlight xmlns="43bf7e8c-322a-46dd-b0f1-fbdd2099b13f">false</spotlight>
    <authorname xmlns="43bf7e8c-322a-46dd-b0f1-fbdd2099b13f">Craig Berry</authorname>
    <documentdescription xmlns="43bf7e8c-322a-46dd-b0f1-fbdd2099b13f" xsi:nil="true"/>
    <Relating_x0020_System xmlns="7e878a90-c9e7-4866-915b-b0a231725374"/>
  </documentManagement>
</p:properties>
</file>

<file path=customXml/item3.xml><?xml version="1.0" encoding="utf-8"?>
<ct:contentTypeSchema xmlns:ct="http://schemas.microsoft.com/office/2006/metadata/contentType" xmlns:ma="http://schemas.microsoft.com/office/2006/metadata/properties/metaAttributes" ct:_="" ma:_="" ma:contentTypeName="GMPTE Portal Document" ma:contentTypeID="0x010100D8052834FF6A485CB905608E782736D30030DEC94B59BA6946A863279D709187E2" ma:contentTypeVersion="22" ma:contentTypeDescription="" ma:contentTypeScope="" ma:versionID="b35e221c36cab99eb1409c6b432f321d">
  <xsd:schema xmlns:xsd="http://www.w3.org/2001/XMLSchema" xmlns:xs="http://www.w3.org/2001/XMLSchema" xmlns:p="http://schemas.microsoft.com/office/2006/metadata/properties" xmlns:ns2="43bf7e8c-322a-46dd-b0f1-fbdd2099b13f" xmlns:ns3="7e878a90-c9e7-4866-915b-b0a231725374" targetNamespace="http://schemas.microsoft.com/office/2006/metadata/properties" ma:root="true" ma:fieldsID="0759e9e17fd172b5437511631900456d" ns2:_="" ns3:_="">
    <xsd:import namespace="43bf7e8c-322a-46dd-b0f1-fbdd2099b13f"/>
    <xsd:import namespace="7e878a90-c9e7-4866-915b-b0a231725374"/>
    <xsd:element name="properties">
      <xsd:complexType>
        <xsd:sequence>
          <xsd:element name="documentManagement">
            <xsd:complexType>
              <xsd:all>
                <xsd:element ref="ns2:authorname" minOccurs="0"/>
                <xsd:element ref="ns2:documentdescription" minOccurs="0"/>
                <xsd:element ref="ns2:keywords" minOccurs="0"/>
                <xsd:element ref="ns2:documentpublished" minOccurs="0"/>
                <xsd:element ref="ns2:spotlight" minOccurs="0"/>
                <xsd:element ref="ns3:Relating_x0020_System" minOccurs="0"/>
                <xsd:element ref="ns3:Related_x0020_Area_x0020_in_x0020_Finance" minOccurs="0"/>
                <xsd:element ref="ns3:Related_x0020_Area_x0020_In_x0020_Procure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bf7e8c-322a-46dd-b0f1-fbdd2099b13f" elementFormDefault="qualified">
    <xsd:import namespace="http://schemas.microsoft.com/office/2006/documentManagement/types"/>
    <xsd:import namespace="http://schemas.microsoft.com/office/infopath/2007/PartnerControls"/>
    <xsd:element name="authorname" ma:index="8" nillable="true" ma:displayName="Author's Name" ma:description="The name of the person primarily responsible for producing the content" ma:internalName="authorname">
      <xsd:simpleType>
        <xsd:restriction base="dms:Text"/>
      </xsd:simpleType>
    </xsd:element>
    <xsd:element name="documentdescription" ma:index="9" nillable="true" ma:displayName="Document Description" ma:description="A brief summary or synopsis for the content (this should contain information which is not already captured in other fields" ma:internalName="documentdescription">
      <xsd:simpleType>
        <xsd:restriction base="dms:Note">
          <xsd:maxLength value="255"/>
        </xsd:restriction>
      </xsd:simpleType>
    </xsd:element>
    <xsd:element name="keywords" ma:index="10" nillable="true" ma:displayName="Key Words" ma:description="Words or phrases which capture the main points of the content" ma:internalName="keywords">
      <xsd:simpleType>
        <xsd:restriction base="dms:Text"/>
      </xsd:simpleType>
    </xsd:element>
    <xsd:element name="documentpublished" ma:index="11" nillable="true" ma:displayName="Date of Publication" ma:description="The date this document was published within the organisation" ma:format="DateOnly" ma:internalName="documentpublished">
      <xsd:simpleType>
        <xsd:restriction base="dms:DateTime"/>
      </xsd:simpleType>
    </xsd:element>
    <xsd:element name="spotlight" ma:index="12" nillable="true" ma:displayName="Spotlight" ma:default="0" ma:description="Use this check box to display this item on your sites 'public' home page" ma:internalName="spotligh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e878a90-c9e7-4866-915b-b0a231725374" elementFormDefault="qualified">
    <xsd:import namespace="http://schemas.microsoft.com/office/2006/documentManagement/types"/>
    <xsd:import namespace="http://schemas.microsoft.com/office/infopath/2007/PartnerControls"/>
    <xsd:element name="Relating_x0020_System" ma:index="13" nillable="true" ma:displayName="Related Systems" ma:hidden="true" ma:internalName="Relating_x0020_System" ma:readOnly="false">
      <xsd:complexType>
        <xsd:complexContent>
          <xsd:extension base="dms:MultiChoice">
            <xsd:sequence>
              <xsd:element name="Value" maxOccurs="unbounded" minOccurs="0" nillable="true">
                <xsd:simpleType>
                  <xsd:restriction base="dms:Choice">
                    <xsd:enumeration value="Intranet"/>
                    <xsd:enumeration value="MIS"/>
                    <xsd:enumeration value="Predict"/>
                    <xsd:enumeration value="SAP"/>
                  </xsd:restriction>
                </xsd:simpleType>
              </xsd:element>
            </xsd:sequence>
          </xsd:extension>
        </xsd:complexContent>
      </xsd:complexType>
    </xsd:element>
    <xsd:element name="Related_x0020_Area_x0020_in_x0020_Finance" ma:index="14" nillable="true" ma:displayName="Related Area in Finance" ma:description="Please select the related Finance area(s)" ma:hidden="true" ma:internalName="Related_x0020_Area_x0020_in_x0020_Finance" ma:readOnly="false">
      <xsd:complexType>
        <xsd:complexContent>
          <xsd:extension base="dms:MultiChoice">
            <xsd:sequence>
              <xsd:element name="Value" maxOccurs="unbounded" minOccurs="0" nillable="true">
                <xsd:simpleType>
                  <xsd:restriction base="dms:Choice">
                    <xsd:enumeration value="Financial Reporting Hierarchy"/>
                    <xsd:enumeration value="GL Code Mapping"/>
                    <xsd:enumeration value="Asset Accounting"/>
                    <xsd:enumeration value="Accounts Payable"/>
                    <xsd:enumeration value="Accounts Receivable"/>
                    <xsd:enumeration value="Banking"/>
                    <xsd:enumeration value="General Ledger"/>
                    <xsd:enumeration value="Controlling"/>
                    <xsd:enumeration value="MyBudget"/>
                    <xsd:enumeration value="Payroll Timetables"/>
                    <xsd:enumeration value="Payroll Forms"/>
                    <xsd:enumeration value="Payroll General"/>
                    <xsd:enumeration value="Pensions"/>
                    <xsd:enumeration value="Car Allowances"/>
                    <xsd:enumeration value="Payroll Induction"/>
                    <xsd:enumeration value="Salary Bands"/>
                    <xsd:enumeration value="Financial Transactions"/>
                    <xsd:enumeration value="Reporting and Decision Support"/>
                    <xsd:enumeration value="Concessionary Travel and Operator Payments"/>
                    <xsd:enumeration value="Financial Systems"/>
                    <xsd:enumeration value="Finace Departmental"/>
                    <xsd:enumeration value="Finance Forms"/>
                    <xsd:enumeration value="Finance General"/>
                    <xsd:enumeration value="Business Intelligence"/>
                  </xsd:restriction>
                </xsd:simpleType>
              </xsd:element>
            </xsd:sequence>
          </xsd:extension>
        </xsd:complexContent>
      </xsd:complexType>
    </xsd:element>
    <xsd:element name="Related_x0020_Area_x0020_In_x0020_Procurement" ma:index="15" nillable="true" ma:displayName="Related Area In Procurement" ma:hidden="true" ma:internalName="Related_x0020_Area_x0020_In_x0020_Procurement" ma:readOnly="false">
      <xsd:complexType>
        <xsd:complexContent>
          <xsd:extension base="dms:MultiChoice">
            <xsd:sequence>
              <xsd:element name="Value" maxOccurs="unbounded" minOccurs="0" nillable="true">
                <xsd:simpleType>
                  <xsd:restriction base="dms:Choice">
                    <xsd:enumeration value="General"/>
                    <xsd:enumeration value="Frameworks"/>
                    <xsd:enumeration value="Catalogues"/>
                    <xsd:enumeration value="Contracts"/>
                    <xsd:enumeration value="Legislation"/>
                    <xsd:enumeration value="Checklist"/>
                    <xsd:enumeration value="Receipting"/>
                    <xsd:enumeration value="Process"/>
                    <xsd:enumeration value="Terms &amp; Conditions"/>
                    <xsd:enumeration value="Master Data"/>
                    <xsd:enumeration value="Material Master"/>
                    <xsd:enumeration value="PCards"/>
                    <xsd:enumeration value="Shopping Carts"/>
                    <xsd:enumeration value="Central Data Maintenance"/>
                    <xsd:enumeration value="Stock Control"/>
                    <xsd:enumeration value="Appendix A"/>
                    <xsd:enumeration value="Appendix B"/>
                    <xsd:enumeration value="Appendix C"/>
                    <xsd:enumeration value="Appendix D"/>
                    <xsd:enumeration value="Appendix E"/>
                    <xsd:enumeration value="Appendix J"/>
                    <xsd:enumeration value="Appendix K"/>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AB466-983F-464F-A660-0D74A8DFF58D}">
  <ds:schemaRefs>
    <ds:schemaRef ds:uri="http://schemas.microsoft.com/sharepoint/v3/contenttype/forms"/>
  </ds:schemaRefs>
</ds:datastoreItem>
</file>

<file path=customXml/itemProps2.xml><?xml version="1.0" encoding="utf-8"?>
<ds:datastoreItem xmlns:ds="http://schemas.openxmlformats.org/officeDocument/2006/customXml" ds:itemID="{27ED1474-79F8-45A5-B538-415B5DECCD7A}">
  <ds:schemaRefs>
    <ds:schemaRef ds:uri="http://schemas.microsoft.com/office/2006/documentManagement/types"/>
    <ds:schemaRef ds:uri="http://www.w3.org/XML/1998/namespace"/>
    <ds:schemaRef ds:uri="http://purl.org/dc/dcmitype/"/>
    <ds:schemaRef ds:uri="43bf7e8c-322a-46dd-b0f1-fbdd2099b13f"/>
    <ds:schemaRef ds:uri="http://schemas.microsoft.com/office/2006/metadata/properties"/>
    <ds:schemaRef ds:uri="http://schemas.openxmlformats.org/package/2006/metadata/core-properties"/>
    <ds:schemaRef ds:uri="http://purl.org/dc/terms/"/>
    <ds:schemaRef ds:uri="http://schemas.microsoft.com/office/infopath/2007/PartnerControls"/>
    <ds:schemaRef ds:uri="7e878a90-c9e7-4866-915b-b0a231725374"/>
    <ds:schemaRef ds:uri="http://purl.org/dc/elements/1.1/"/>
  </ds:schemaRefs>
</ds:datastoreItem>
</file>

<file path=customXml/itemProps3.xml><?xml version="1.0" encoding="utf-8"?>
<ds:datastoreItem xmlns:ds="http://schemas.openxmlformats.org/officeDocument/2006/customXml" ds:itemID="{DDDB3027-B64E-4D58-ABD6-B697E158C9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bf7e8c-322a-46dd-b0f1-fbdd2099b13f"/>
    <ds:schemaRef ds:uri="7e878a90-c9e7-4866-915b-b0a231725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67891C-070B-4272-AE26-D82C12DBB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Pages>
  <Words>1279</Words>
  <Characters>6563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TfGM Blank Document Header Template</vt:lpstr>
    </vt:vector>
  </TitlesOfParts>
  <Company>TfGM</Company>
  <LinksUpToDate>false</LinksUpToDate>
  <CharactersWithSpaces>7827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TfGM Blank Document Header Template</dc:title>
  <dc:creator>brownc</dc:creator>
  <cp:lastModifiedBy>James Baldwin</cp:lastModifiedBy>
  <cp:revision>15</cp:revision>
  <cp:lastPrinted>2017-10-23T09:08:00Z</cp:lastPrinted>
  <dcterms:created xsi:type="dcterms:W3CDTF">2017-12-07T09:59:00Z</dcterms:created>
  <dcterms:modified xsi:type="dcterms:W3CDTF">2018-01-15T17:41:00Z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0x010100D8052834FF6A485CB905608E782736D30030DEC94B59BA6946A863279D709187E2</vt:lpwstr>
  </property>
  <property fmtid="{D5CDD505-2E9C-101B-9397-08002B2CF9AE}" pid="3" name="Order">
    <vt:r8>5200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