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7306"/>
      </w:tblGrid>
      <w:tr w:rsidR="00C17D5F" w14:paraId="468F6EAA" w14:textId="77777777" w:rsidTr="00651F82">
        <w:trPr>
          <w:trHeight w:val="838"/>
        </w:trPr>
        <w:tc>
          <w:tcPr>
            <w:tcW w:w="8669" w:type="dxa"/>
            <w:gridSpan w:val="2"/>
          </w:tcPr>
          <w:p w14:paraId="7F8FB13D" w14:textId="79CF68E3" w:rsidR="00C17D5F" w:rsidRPr="00337DFE" w:rsidRDefault="001276FC" w:rsidP="00643B3F">
            <w:pPr>
              <w:pStyle w:val="TfGMDocumentHeading"/>
              <w:spacing w:after="0"/>
              <w:jc w:val="both"/>
              <w:rPr>
                <w:rFonts w:asciiTheme="minorHAnsi" w:eastAsiaTheme="minorEastAsia" w:hAnsiTheme="minorHAnsi"/>
                <w:sz w:val="40"/>
                <w:szCs w:val="24"/>
              </w:rPr>
            </w:pPr>
            <w:r>
              <w:rPr>
                <w:rFonts w:asciiTheme="minorHAnsi" w:eastAsiaTheme="minorEastAsia" w:hAnsiTheme="minorHAnsi"/>
                <w:sz w:val="44"/>
                <w:szCs w:val="24"/>
              </w:rPr>
              <w:t xml:space="preserve">                                                                    </w:t>
            </w:r>
            <w:r w:rsidR="00B6286E">
              <w:rPr>
                <w:rFonts w:asciiTheme="minorHAnsi" w:eastAsiaTheme="minorEastAsia" w:hAnsiTheme="minorHAnsi"/>
                <w:sz w:val="44"/>
                <w:szCs w:val="24"/>
              </w:rPr>
              <w:t>B</w:t>
            </w:r>
            <w:r w:rsidR="00C17D5F" w:rsidRPr="00115E87">
              <w:rPr>
                <w:rFonts w:asciiTheme="minorHAnsi" w:eastAsiaTheme="minorEastAsia" w:hAnsiTheme="minorHAnsi"/>
                <w:sz w:val="44"/>
                <w:szCs w:val="24"/>
              </w:rPr>
              <w:t>riefing</w:t>
            </w:r>
          </w:p>
        </w:tc>
      </w:tr>
      <w:tr w:rsidR="00C17D5F" w:rsidRPr="00C17D5F" w14:paraId="18DA4D8C" w14:textId="77777777" w:rsidTr="00651F82">
        <w:trPr>
          <w:trHeight w:val="576"/>
        </w:trPr>
        <w:tc>
          <w:tcPr>
            <w:tcW w:w="1363" w:type="dxa"/>
          </w:tcPr>
          <w:p w14:paraId="07955331" w14:textId="77777777" w:rsidR="00C17D5F" w:rsidRPr="00C17D5F" w:rsidRDefault="00C17D5F" w:rsidP="00643B3F">
            <w:pPr>
              <w:pStyle w:val="TfGMDocumentHeading"/>
              <w:spacing w:after="0"/>
              <w:jc w:val="both"/>
              <w:rPr>
                <w:rFonts w:asciiTheme="minorHAnsi" w:eastAsiaTheme="minorEastAsia" w:hAnsiTheme="minorHAnsi"/>
                <w:b w:val="0"/>
                <w:szCs w:val="26"/>
              </w:rPr>
            </w:pPr>
            <w:r w:rsidRPr="00C17D5F">
              <w:rPr>
                <w:rFonts w:asciiTheme="minorHAnsi" w:eastAsiaTheme="minorEastAsia" w:hAnsiTheme="minorHAnsi"/>
                <w:b w:val="0"/>
                <w:szCs w:val="26"/>
              </w:rPr>
              <w:t xml:space="preserve">Title </w:t>
            </w:r>
          </w:p>
        </w:tc>
        <w:tc>
          <w:tcPr>
            <w:tcW w:w="7306" w:type="dxa"/>
          </w:tcPr>
          <w:p w14:paraId="0ABD3D03" w14:textId="3B8743B5" w:rsidR="003A69E6" w:rsidRPr="003A69E6" w:rsidRDefault="004E04AC" w:rsidP="004A118C">
            <w:pPr>
              <w:pStyle w:val="TfGMDocumentHeading"/>
              <w:spacing w:after="0"/>
              <w:jc w:val="both"/>
              <w:rPr>
                <w:rFonts w:asciiTheme="minorHAnsi" w:hAnsiTheme="minorHAnsi"/>
                <w:szCs w:val="26"/>
              </w:rPr>
            </w:pPr>
            <w:r>
              <w:rPr>
                <w:rFonts w:asciiTheme="minorHAnsi" w:hAnsiTheme="minorHAnsi"/>
                <w:szCs w:val="26"/>
              </w:rPr>
              <w:t xml:space="preserve">Response to GMPON Feedback </w:t>
            </w:r>
            <w:r w:rsidR="004A118C">
              <w:rPr>
                <w:rFonts w:asciiTheme="minorHAnsi" w:hAnsiTheme="minorHAnsi"/>
                <w:szCs w:val="26"/>
              </w:rPr>
              <w:t>–</w:t>
            </w:r>
            <w:r>
              <w:rPr>
                <w:rFonts w:asciiTheme="minorHAnsi" w:hAnsiTheme="minorHAnsi"/>
                <w:szCs w:val="26"/>
              </w:rPr>
              <w:t xml:space="preserve"> </w:t>
            </w:r>
            <w:r w:rsidR="004A118C">
              <w:rPr>
                <w:rFonts w:asciiTheme="minorHAnsi" w:hAnsiTheme="minorHAnsi"/>
                <w:szCs w:val="26"/>
              </w:rPr>
              <w:t>Valeska Matzoil</w:t>
            </w:r>
          </w:p>
        </w:tc>
      </w:tr>
      <w:tr w:rsidR="00C17D5F" w:rsidRPr="00C17D5F" w14:paraId="603BE41D" w14:textId="77777777" w:rsidTr="00651F82">
        <w:tc>
          <w:tcPr>
            <w:tcW w:w="1363" w:type="dxa"/>
          </w:tcPr>
          <w:p w14:paraId="09DDA2D8" w14:textId="6DDFCA8D" w:rsidR="00C17D5F" w:rsidRPr="00C17D5F" w:rsidRDefault="00C17D5F" w:rsidP="00643B3F">
            <w:pPr>
              <w:pStyle w:val="TfGMDocumentHeading"/>
              <w:spacing w:after="0"/>
              <w:jc w:val="both"/>
              <w:rPr>
                <w:rFonts w:asciiTheme="minorHAnsi" w:eastAsiaTheme="minorEastAsia" w:hAnsiTheme="minorHAnsi"/>
                <w:b w:val="0"/>
                <w:szCs w:val="26"/>
              </w:rPr>
            </w:pPr>
            <w:r w:rsidRPr="00C17D5F">
              <w:rPr>
                <w:rFonts w:asciiTheme="minorHAnsi" w:eastAsiaTheme="minorEastAsia" w:hAnsiTheme="minorHAnsi"/>
                <w:b w:val="0"/>
                <w:szCs w:val="26"/>
              </w:rPr>
              <w:t>Date</w:t>
            </w:r>
          </w:p>
          <w:p w14:paraId="16BCE7AD" w14:textId="77777777" w:rsidR="00C17D5F" w:rsidRPr="00C17D5F" w:rsidRDefault="00C17D5F" w:rsidP="00643B3F">
            <w:pPr>
              <w:pStyle w:val="TfGMDocumentHeading"/>
              <w:spacing w:after="0"/>
              <w:jc w:val="both"/>
              <w:rPr>
                <w:b w:val="0"/>
                <w:szCs w:val="26"/>
              </w:rPr>
            </w:pPr>
          </w:p>
        </w:tc>
        <w:tc>
          <w:tcPr>
            <w:tcW w:w="7306" w:type="dxa"/>
          </w:tcPr>
          <w:p w14:paraId="68109BF5" w14:textId="1166680B" w:rsidR="00C17D5F" w:rsidRPr="00C17D5F" w:rsidRDefault="00184C1C" w:rsidP="00184C1C">
            <w:pPr>
              <w:pStyle w:val="TfGMDocumentHeading"/>
              <w:spacing w:after="0"/>
              <w:jc w:val="both"/>
              <w:rPr>
                <w:rFonts w:asciiTheme="minorHAnsi" w:eastAsiaTheme="minorEastAsia" w:hAnsiTheme="minorHAnsi"/>
                <w:szCs w:val="26"/>
              </w:rPr>
            </w:pPr>
            <w:r>
              <w:rPr>
                <w:rFonts w:asciiTheme="minorHAnsi" w:eastAsiaTheme="minorEastAsia" w:hAnsiTheme="minorHAnsi"/>
                <w:szCs w:val="26"/>
              </w:rPr>
              <w:t>15</w:t>
            </w:r>
            <w:r w:rsidR="0097047B">
              <w:rPr>
                <w:rFonts w:asciiTheme="minorHAnsi" w:eastAsiaTheme="minorEastAsia" w:hAnsiTheme="minorHAnsi"/>
                <w:szCs w:val="26"/>
              </w:rPr>
              <w:t xml:space="preserve"> </w:t>
            </w:r>
            <w:r>
              <w:rPr>
                <w:rFonts w:asciiTheme="minorHAnsi" w:eastAsiaTheme="minorEastAsia" w:hAnsiTheme="minorHAnsi"/>
                <w:szCs w:val="26"/>
              </w:rPr>
              <w:t>January</w:t>
            </w:r>
            <w:r w:rsidR="00651F82">
              <w:rPr>
                <w:rFonts w:asciiTheme="minorHAnsi" w:eastAsiaTheme="minorEastAsia" w:hAnsiTheme="minorHAnsi"/>
                <w:szCs w:val="26"/>
              </w:rPr>
              <w:t xml:space="preserve"> 201</w:t>
            </w:r>
            <w:r>
              <w:rPr>
                <w:rFonts w:asciiTheme="minorHAnsi" w:eastAsiaTheme="minorEastAsia" w:hAnsiTheme="minorHAnsi"/>
                <w:szCs w:val="26"/>
              </w:rPr>
              <w:t>8</w:t>
            </w:r>
          </w:p>
        </w:tc>
      </w:tr>
    </w:tbl>
    <w:p w14:paraId="10FACD8D" w14:textId="1CBDB504" w:rsidR="00C17D5F" w:rsidRDefault="00BD23DC" w:rsidP="00643B3F">
      <w:pPr>
        <w:pStyle w:val="8TfGMStandardDocumentText"/>
        <w:pBdr>
          <w:bottom w:val="single" w:sz="12" w:space="2" w:color="auto"/>
        </w:pBdr>
        <w:spacing w:after="0"/>
        <w:jc w:val="both"/>
        <w:rPr>
          <w:rFonts w:asciiTheme="minorHAnsi" w:hAnsiTheme="minorHAnsi"/>
          <w:szCs w:val="26"/>
          <w:lang w:eastAsia="en-US"/>
        </w:rPr>
      </w:pPr>
      <w:r>
        <w:rPr>
          <w:rFonts w:asciiTheme="minorHAnsi" w:hAnsiTheme="minorHAnsi"/>
          <w:szCs w:val="26"/>
          <w:lang w:eastAsia="en-US"/>
        </w:rPr>
        <w:t xml:space="preserve"> Contact</w:t>
      </w:r>
      <w:r>
        <w:rPr>
          <w:rFonts w:asciiTheme="minorHAnsi" w:hAnsiTheme="minorHAnsi"/>
          <w:szCs w:val="26"/>
          <w:lang w:eastAsia="en-US"/>
        </w:rPr>
        <w:tab/>
      </w:r>
      <w:r w:rsidRPr="00BD23DC">
        <w:rPr>
          <w:rFonts w:asciiTheme="minorHAnsi" w:hAnsiTheme="minorHAnsi"/>
          <w:b/>
          <w:szCs w:val="26"/>
          <w:lang w:eastAsia="en-US"/>
        </w:rPr>
        <w:t>Sophie Clare</w:t>
      </w:r>
    </w:p>
    <w:p w14:paraId="6AA02524" w14:textId="3FF39DAD" w:rsidR="00BD23DC" w:rsidRDefault="00BD23DC" w:rsidP="00643B3F">
      <w:pPr>
        <w:pStyle w:val="8TfGMStandardDocumentText"/>
        <w:pBdr>
          <w:bottom w:val="single" w:sz="12" w:space="2" w:color="auto"/>
        </w:pBdr>
        <w:spacing w:after="0"/>
        <w:jc w:val="both"/>
        <w:rPr>
          <w:rFonts w:asciiTheme="minorHAnsi" w:hAnsiTheme="minorHAnsi"/>
          <w:szCs w:val="26"/>
          <w:lang w:eastAsia="en-US"/>
        </w:rPr>
      </w:pPr>
      <w:r>
        <w:rPr>
          <w:rFonts w:asciiTheme="minorHAnsi" w:hAnsiTheme="minorHAnsi"/>
          <w:szCs w:val="26"/>
          <w:lang w:eastAsia="en-US"/>
        </w:rPr>
        <w:tab/>
      </w:r>
      <w:r>
        <w:rPr>
          <w:rFonts w:asciiTheme="minorHAnsi" w:hAnsiTheme="minorHAnsi"/>
          <w:szCs w:val="26"/>
          <w:lang w:eastAsia="en-US"/>
        </w:rPr>
        <w:tab/>
        <w:t>0161 244 1244</w:t>
      </w:r>
      <w:r>
        <w:rPr>
          <w:rFonts w:asciiTheme="minorHAnsi" w:hAnsiTheme="minorHAnsi"/>
          <w:szCs w:val="26"/>
          <w:lang w:eastAsia="en-US"/>
        </w:rPr>
        <w:tab/>
      </w:r>
      <w:hyperlink r:id="rId11" w:history="1">
        <w:r w:rsidRPr="008F4544">
          <w:rPr>
            <w:rStyle w:val="Hyperlink"/>
            <w:rFonts w:asciiTheme="minorHAnsi" w:hAnsiTheme="minorHAnsi"/>
            <w:szCs w:val="26"/>
            <w:lang w:eastAsia="en-US"/>
          </w:rPr>
          <w:t>sophie.clare@tfgm.com</w:t>
        </w:r>
      </w:hyperlink>
    </w:p>
    <w:p w14:paraId="35B97959" w14:textId="77777777" w:rsidR="00BD23DC" w:rsidRPr="00C17D5F" w:rsidRDefault="00BD23DC" w:rsidP="00643B3F">
      <w:pPr>
        <w:pStyle w:val="8TfGMStandardDocumentText"/>
        <w:pBdr>
          <w:bottom w:val="single" w:sz="12" w:space="2" w:color="auto"/>
        </w:pBdr>
        <w:spacing w:after="0"/>
        <w:jc w:val="both"/>
        <w:rPr>
          <w:rFonts w:asciiTheme="minorHAnsi" w:hAnsiTheme="minorHAnsi"/>
          <w:szCs w:val="26"/>
          <w:lang w:eastAsia="en-US"/>
        </w:rPr>
      </w:pPr>
    </w:p>
    <w:p w14:paraId="0A73FF3B" w14:textId="12593666" w:rsidR="00C60972" w:rsidRDefault="009D42C2" w:rsidP="00643B3F">
      <w:pPr>
        <w:pStyle w:val="1TfGMHeading1"/>
        <w:jc w:val="both"/>
        <w:rPr>
          <w:rFonts w:eastAsiaTheme="minorEastAsia"/>
          <w:lang w:eastAsia="en-US"/>
        </w:rPr>
      </w:pPr>
      <w:r>
        <w:rPr>
          <w:rFonts w:eastAsiaTheme="minorEastAsia"/>
          <w:lang w:eastAsia="en-US"/>
        </w:rPr>
        <w:t>Concessionary travel</w:t>
      </w:r>
    </w:p>
    <w:p w14:paraId="24234C13" w14:textId="440B2533" w:rsidR="002252A1" w:rsidRPr="002252A1" w:rsidRDefault="002252A1" w:rsidP="002252A1">
      <w:pPr>
        <w:pStyle w:val="2TfGMHeading2"/>
        <w:rPr>
          <w:rFonts w:eastAsiaTheme="minorEastAsia"/>
          <w:lang w:eastAsia="en-US"/>
        </w:rPr>
      </w:pPr>
      <w:r>
        <w:rPr>
          <w:rFonts w:eastAsiaTheme="minorEastAsia"/>
          <w:lang w:eastAsia="en-US"/>
        </w:rPr>
        <w:t>C</w:t>
      </w:r>
      <w:r w:rsidRPr="002252A1">
        <w:rPr>
          <w:rFonts w:eastAsiaTheme="minorEastAsia"/>
          <w:lang w:eastAsia="en-US"/>
        </w:rPr>
        <w:t>entral government determines who is eligible and the time of validity for concessionary travel within England in accordance with The Transport Act 2000. The national scheme supports free off-peak travel on all local buses, allowing ENCTP holders to travel between 09:30 and 23:00 Monday to Friday and all day at weekends and public holidays.</w:t>
      </w:r>
    </w:p>
    <w:p w14:paraId="653E7629" w14:textId="2A66C8AC" w:rsidR="002252A1" w:rsidRPr="002252A1" w:rsidRDefault="002252A1" w:rsidP="002252A1">
      <w:pPr>
        <w:pStyle w:val="2TfGMHeading2"/>
        <w:rPr>
          <w:rFonts w:eastAsiaTheme="minorEastAsia"/>
          <w:lang w:eastAsia="en-US"/>
        </w:rPr>
      </w:pPr>
      <w:r w:rsidRPr="002252A1">
        <w:rPr>
          <w:rFonts w:eastAsiaTheme="minorEastAsia"/>
          <w:lang w:eastAsia="en-US"/>
        </w:rPr>
        <w:t>Local authorities are able to use discretionary powers to extend the ENCTP scheme or offer additional concessions but any extensions must be funded locally.</w:t>
      </w:r>
    </w:p>
    <w:p w14:paraId="6CA333A6" w14:textId="089B63A9" w:rsidR="002252A1" w:rsidRPr="002252A1" w:rsidRDefault="002252A1" w:rsidP="002252A1">
      <w:pPr>
        <w:pStyle w:val="2TfGMHeading2"/>
        <w:rPr>
          <w:rFonts w:eastAsiaTheme="minorEastAsia"/>
          <w:lang w:eastAsia="en-US"/>
        </w:rPr>
      </w:pPr>
      <w:r w:rsidRPr="002252A1">
        <w:rPr>
          <w:rFonts w:eastAsiaTheme="minorEastAsia"/>
          <w:lang w:eastAsia="en-US"/>
        </w:rPr>
        <w:t>In Greater Manchester, the Transport for Greater Manchester Committee (TfGMC) has decided to use its powers to provide free travel on rail and Metrolink for ENCTP holders and has also introduced a concessionary scheme for young people, known as the igo card. In addition, these local extensions provide further concessions to ENCTP customers who hold a pass on the grounds of having a disability, which includes half fare prior to 09:30. Free travel during the morning peak is granted to those with more severe disabilities, who TfGMC feel would have great difficulty in handling money. A Travel Voucher scheme is also in place, providing discounted travel by taxi and private hire vehicles for those with poor mobility and this is also funded entirely by Transport for Greater Manchester (TfGM).</w:t>
      </w:r>
    </w:p>
    <w:p w14:paraId="18E74554" w14:textId="4F3D4C19" w:rsidR="00281F59" w:rsidRDefault="002252A1" w:rsidP="002252A1">
      <w:pPr>
        <w:pStyle w:val="2TfGMHeading2"/>
        <w:rPr>
          <w:rFonts w:eastAsiaTheme="minorEastAsia"/>
          <w:lang w:eastAsia="en-US"/>
        </w:rPr>
      </w:pPr>
      <w:r w:rsidRPr="002252A1">
        <w:rPr>
          <w:rFonts w:eastAsiaTheme="minorEastAsia"/>
          <w:lang w:eastAsia="en-US"/>
        </w:rPr>
        <w:t xml:space="preserve">Due to the limited budget which TfGM has to fund extensions to local concessions, it is likely that in order to include further concessions, for instance free travel for </w:t>
      </w:r>
      <w:r w:rsidR="004A118C">
        <w:rPr>
          <w:rFonts w:eastAsiaTheme="minorEastAsia"/>
          <w:lang w:eastAsia="en-US"/>
        </w:rPr>
        <w:t xml:space="preserve">refugees, asylum seekers and </w:t>
      </w:r>
      <w:r w:rsidRPr="002252A1">
        <w:rPr>
          <w:rFonts w:eastAsiaTheme="minorEastAsia"/>
          <w:lang w:eastAsia="en-US"/>
        </w:rPr>
        <w:t>all pass holders prior to 09:30, TfGMC would have to consider removing one of the concessions outlined above. This is because there is a significant cost to concessionary travel as local authorities must reimburse commercial operators for each concessionary journey made.</w:t>
      </w:r>
    </w:p>
    <w:p w14:paraId="6C6DE832" w14:textId="760A911F" w:rsidR="00C1095A" w:rsidRPr="002252A1" w:rsidRDefault="009D42C2" w:rsidP="002252A1">
      <w:pPr>
        <w:pStyle w:val="1TfGMHeading1"/>
        <w:rPr>
          <w:rFonts w:eastAsiaTheme="minorEastAsia"/>
          <w:lang w:eastAsia="en-US"/>
        </w:rPr>
      </w:pPr>
      <w:r>
        <w:rPr>
          <w:rFonts w:eastAsiaTheme="minorEastAsia"/>
          <w:lang w:eastAsia="en-US"/>
        </w:rPr>
        <w:lastRenderedPageBreak/>
        <w:t>Bus reform</w:t>
      </w:r>
    </w:p>
    <w:p w14:paraId="6004B709" w14:textId="58B61B0B" w:rsidR="00C36323" w:rsidRPr="00C36323" w:rsidRDefault="00C36323" w:rsidP="00C36323">
      <w:pPr>
        <w:pStyle w:val="2TfGMHeading2"/>
        <w:rPr>
          <w:rFonts w:eastAsiaTheme="minorEastAsia"/>
          <w:lang w:eastAsia="en-US"/>
        </w:rPr>
      </w:pPr>
      <w:r w:rsidRPr="00C36323">
        <w:rPr>
          <w:rFonts w:eastAsiaTheme="minorEastAsia"/>
          <w:lang w:eastAsia="en-US"/>
        </w:rPr>
        <w:t xml:space="preserve">In Greater Manchester the bus market is deregulated unlike London. 80% of the network is provided on a commercial basis by privately owned and operated bus companies who are free to determine their own services, routes and fares. In practice, this means that the bus operators serve routes that they believe to be commercially viable. </w:t>
      </w:r>
    </w:p>
    <w:p w14:paraId="2FEEB9A6" w14:textId="77777777" w:rsidR="00C36323" w:rsidRPr="00C36323" w:rsidRDefault="00C36323" w:rsidP="00C36323">
      <w:pPr>
        <w:pStyle w:val="2TfGMHeading2"/>
        <w:rPr>
          <w:rFonts w:eastAsiaTheme="minorEastAsia"/>
          <w:lang w:eastAsia="en-US"/>
        </w:rPr>
      </w:pPr>
      <w:r w:rsidRPr="00C36323">
        <w:rPr>
          <w:rFonts w:eastAsiaTheme="minorEastAsia"/>
          <w:lang w:eastAsia="en-US"/>
        </w:rPr>
        <w:t>Transport for Greater Manchester (TfGM) does provide financial support to provide routes where there is no commercially available service, but have a limited budget to do so.</w:t>
      </w:r>
    </w:p>
    <w:p w14:paraId="7454E5ED" w14:textId="77777777" w:rsidR="00C36323" w:rsidRPr="00C36323" w:rsidRDefault="00C36323" w:rsidP="00C36323">
      <w:pPr>
        <w:pStyle w:val="2TfGMHeading2"/>
        <w:rPr>
          <w:rFonts w:eastAsiaTheme="minorEastAsia"/>
          <w:lang w:eastAsia="en-US"/>
        </w:rPr>
      </w:pPr>
      <w:r w:rsidRPr="00C36323">
        <w:rPr>
          <w:rFonts w:eastAsiaTheme="minorEastAsia"/>
          <w:lang w:eastAsia="en-US"/>
        </w:rPr>
        <w:t>The Greater Manchester Combined Authority has asked Transport for Greater Manchester (TfGM) to explore new opportunities for the reform of the bus market provided to combined mayoral authorities by the Bus Services Act 2017, which was introduced into law last year. This includes preparing an assessment of a proposed franchising scheme (the system used in London and other cities globally), as well as new engaging with bus operators about partnership options. The Act gives the elected Mayor of Greater Manchester the option to reform the bus market, subject to public consultation.</w:t>
      </w:r>
    </w:p>
    <w:p w14:paraId="7805A004" w14:textId="77777777" w:rsidR="00C36323" w:rsidRDefault="00C36323" w:rsidP="00C36323">
      <w:pPr>
        <w:pStyle w:val="2TfGMHeading2"/>
        <w:rPr>
          <w:rFonts w:eastAsiaTheme="minorEastAsia"/>
          <w:lang w:eastAsia="en-US"/>
        </w:rPr>
      </w:pPr>
      <w:r w:rsidRPr="00C36323">
        <w:rPr>
          <w:rFonts w:eastAsiaTheme="minorEastAsia"/>
          <w:lang w:eastAsia="en-US"/>
        </w:rPr>
        <w:t>This could bring significant benefits for residents and passengers, allowing for greater local control over routes, frequencies, timetables, fares and quality standards for all buses across the Greater Manchester network.</w:t>
      </w:r>
    </w:p>
    <w:p w14:paraId="5D386683" w14:textId="3802A0B4" w:rsidR="00C36323" w:rsidRPr="00C36323" w:rsidRDefault="00C36323" w:rsidP="00C36323">
      <w:pPr>
        <w:pStyle w:val="1TfGMHeading1"/>
        <w:rPr>
          <w:rFonts w:eastAsiaTheme="minorEastAsia"/>
          <w:lang w:eastAsia="en-US"/>
        </w:rPr>
      </w:pPr>
      <w:r>
        <w:rPr>
          <w:rFonts w:eastAsiaTheme="minorEastAsia"/>
          <w:lang w:eastAsia="en-US"/>
        </w:rPr>
        <w:t>Smart ticketing</w:t>
      </w:r>
    </w:p>
    <w:p w14:paraId="60C5482C" w14:textId="3A33605E" w:rsidR="005276A1" w:rsidRPr="005276A1" w:rsidRDefault="005276A1" w:rsidP="00C36323">
      <w:pPr>
        <w:pStyle w:val="2TfGMHeading2"/>
        <w:rPr>
          <w:rFonts w:eastAsiaTheme="minorEastAsia"/>
          <w:lang w:eastAsia="en-US"/>
        </w:rPr>
      </w:pPr>
      <w:r w:rsidRPr="005276A1">
        <w:rPr>
          <w:rFonts w:eastAsiaTheme="minorEastAsia"/>
          <w:lang w:eastAsia="en-US"/>
        </w:rPr>
        <w:t xml:space="preserve">TfGM are continuing to explore ways in which we can develop the smart ticketing offering in Greater Manchester which is currently available on ITSO smart card and the mobile app under the getmethere brand; this will include an upgrade of the on-stop ticket vending machines to allow the purchase and fulfilment of smart products on ITSO smart cards in the first half of 2018. </w:t>
      </w:r>
    </w:p>
    <w:p w14:paraId="6384D3EF" w14:textId="20B353ED" w:rsidR="00A71D4B" w:rsidRPr="001B0BDE" w:rsidRDefault="005276A1" w:rsidP="001B0BDE">
      <w:pPr>
        <w:pStyle w:val="2TfGMHeading2"/>
        <w:rPr>
          <w:rFonts w:eastAsiaTheme="minorEastAsia"/>
          <w:lang w:eastAsia="en-US"/>
        </w:rPr>
      </w:pPr>
      <w:r w:rsidRPr="005276A1">
        <w:rPr>
          <w:rFonts w:eastAsiaTheme="minorEastAsia"/>
          <w:lang w:eastAsia="en-US"/>
        </w:rPr>
        <w:t xml:space="preserve">TfGM are investing in a more fully “smart” ticketing system that will include a “back office” capable of more complex and powerful processing (rather than storing information on the card itself). This will allow for pay-as-you-go and price capping, using either a contactless bankcard or another form of “token” to travel – which could be a smartcard, or a mobile phone, watch etc. This will allow us to deliver a “fair price promise” - a guarantee that customers will be sold the best value ticket </w:t>
      </w:r>
      <w:r w:rsidRPr="005276A1">
        <w:rPr>
          <w:rFonts w:eastAsiaTheme="minorEastAsia"/>
          <w:lang w:eastAsia="en-US"/>
        </w:rPr>
        <w:lastRenderedPageBreak/>
        <w:t>for the journeys they’ve made, without having to pre-plan, and however many trips you make in a day/week you won’t be charged more than if you had purchased a day/week saver in advance.</w:t>
      </w:r>
    </w:p>
    <w:p w14:paraId="21F37E96" w14:textId="2F8CBE4F" w:rsidR="002B4C8E" w:rsidRDefault="0005490B" w:rsidP="002B4C8E">
      <w:pPr>
        <w:pStyle w:val="1TfGMHeading1"/>
        <w:rPr>
          <w:rFonts w:eastAsiaTheme="minorEastAsia"/>
          <w:lang w:eastAsia="en-US"/>
        </w:rPr>
      </w:pPr>
      <w:r>
        <w:rPr>
          <w:rFonts w:eastAsiaTheme="minorEastAsia"/>
          <w:lang w:eastAsia="en-US"/>
        </w:rPr>
        <w:t>Timetable information</w:t>
      </w:r>
      <w:r w:rsidR="00245189">
        <w:rPr>
          <w:rFonts w:eastAsiaTheme="minorEastAsia"/>
          <w:lang w:eastAsia="en-US"/>
        </w:rPr>
        <w:t xml:space="preserve"> </w:t>
      </w:r>
      <w:r w:rsidR="00C711D8">
        <w:rPr>
          <w:rFonts w:eastAsiaTheme="minorEastAsia"/>
          <w:lang w:eastAsia="en-US"/>
        </w:rPr>
        <w:t>in other languages</w:t>
      </w:r>
    </w:p>
    <w:p w14:paraId="315B57C9" w14:textId="64CB7FFD" w:rsidR="00D92D57" w:rsidRPr="009F5D24" w:rsidRDefault="00D04C71" w:rsidP="009F5D24">
      <w:pPr>
        <w:pStyle w:val="2TfGMHeading2"/>
        <w:rPr>
          <w:rFonts w:eastAsiaTheme="minorEastAsia"/>
          <w:lang w:eastAsia="en-US"/>
        </w:rPr>
      </w:pPr>
      <w:r>
        <w:rPr>
          <w:rFonts w:eastAsiaTheme="minorEastAsia"/>
          <w:lang w:eastAsia="en-US"/>
        </w:rPr>
        <w:t xml:space="preserve">The limited space available at </w:t>
      </w:r>
      <w:r w:rsidRPr="00D92D57">
        <w:rPr>
          <w:rFonts w:eastAsiaTheme="minorEastAsia"/>
          <w:lang w:eastAsia="en-US"/>
        </w:rPr>
        <w:t>bus stop</w:t>
      </w:r>
      <w:r>
        <w:rPr>
          <w:rFonts w:eastAsiaTheme="minorEastAsia"/>
          <w:lang w:eastAsia="en-US"/>
        </w:rPr>
        <w:t>s,</w:t>
      </w:r>
      <w:r w:rsidRPr="00D92D57">
        <w:rPr>
          <w:rFonts w:eastAsiaTheme="minorEastAsia"/>
          <w:lang w:eastAsia="en-US"/>
        </w:rPr>
        <w:t xml:space="preserve"> timetable dis</w:t>
      </w:r>
      <w:r>
        <w:rPr>
          <w:rFonts w:eastAsiaTheme="minorEastAsia"/>
          <w:lang w:eastAsia="en-US"/>
        </w:rPr>
        <w:t>play/shelter case/bus stop pate makes it difficult</w:t>
      </w:r>
      <w:r w:rsidR="009F5D24">
        <w:rPr>
          <w:rFonts w:eastAsiaTheme="minorEastAsia"/>
          <w:lang w:eastAsia="en-US"/>
        </w:rPr>
        <w:t xml:space="preserve"> </w:t>
      </w:r>
      <w:r w:rsidR="00D92D57" w:rsidRPr="009F5D24">
        <w:rPr>
          <w:rFonts w:eastAsiaTheme="minorEastAsia"/>
          <w:lang w:eastAsia="en-US"/>
        </w:rPr>
        <w:t xml:space="preserve">to accommodate other languages in </w:t>
      </w:r>
      <w:r w:rsidR="009F5D24">
        <w:rPr>
          <w:rFonts w:eastAsiaTheme="minorEastAsia"/>
          <w:lang w:eastAsia="en-US"/>
        </w:rPr>
        <w:t>the form of printed information.</w:t>
      </w:r>
    </w:p>
    <w:p w14:paraId="2C1BE601" w14:textId="54951219" w:rsidR="00245189" w:rsidRPr="009F5D24" w:rsidRDefault="00D92D57" w:rsidP="009F5D24">
      <w:pPr>
        <w:pStyle w:val="2TfGMHeading2"/>
        <w:rPr>
          <w:rFonts w:eastAsiaTheme="minorEastAsia"/>
          <w:lang w:eastAsia="en-US"/>
        </w:rPr>
      </w:pPr>
      <w:r w:rsidRPr="00D92D57">
        <w:rPr>
          <w:rFonts w:eastAsiaTheme="minorEastAsia"/>
          <w:lang w:eastAsia="en-US"/>
        </w:rPr>
        <w:t>However</w:t>
      </w:r>
      <w:r w:rsidR="009F5D24">
        <w:rPr>
          <w:rFonts w:eastAsiaTheme="minorEastAsia"/>
          <w:lang w:eastAsia="en-US"/>
        </w:rPr>
        <w:t>,</w:t>
      </w:r>
      <w:r w:rsidRPr="00D92D57">
        <w:rPr>
          <w:rFonts w:eastAsiaTheme="minorEastAsia"/>
          <w:lang w:eastAsia="en-US"/>
        </w:rPr>
        <w:t xml:space="preserve"> </w:t>
      </w:r>
      <w:r w:rsidR="009F5D24">
        <w:rPr>
          <w:rFonts w:eastAsiaTheme="minorEastAsia"/>
          <w:lang w:eastAsia="en-US"/>
        </w:rPr>
        <w:t xml:space="preserve">the TfGM </w:t>
      </w:r>
      <w:r w:rsidRPr="00D92D57">
        <w:rPr>
          <w:rFonts w:eastAsiaTheme="minorEastAsia"/>
          <w:lang w:eastAsia="en-US"/>
        </w:rPr>
        <w:t>journey planner does have alternative language options.</w:t>
      </w:r>
    </w:p>
    <w:p w14:paraId="699F6705" w14:textId="521E5B7A" w:rsidR="00F409A0" w:rsidRDefault="00F409A0" w:rsidP="00F409A0">
      <w:pPr>
        <w:pStyle w:val="1TfGMHeading1"/>
        <w:rPr>
          <w:rFonts w:eastAsiaTheme="minorEastAsia"/>
          <w:lang w:eastAsia="en-US"/>
        </w:rPr>
      </w:pPr>
      <w:r>
        <w:rPr>
          <w:rFonts w:eastAsiaTheme="minorEastAsia"/>
          <w:lang w:eastAsia="en-US"/>
        </w:rPr>
        <w:t>Centralisation of public transport</w:t>
      </w:r>
    </w:p>
    <w:p w14:paraId="0929C1DF" w14:textId="2CFDB362" w:rsidR="006B1261" w:rsidRPr="006B1261" w:rsidRDefault="006B1261" w:rsidP="006B1261">
      <w:pPr>
        <w:pStyle w:val="2TfGMHeading2"/>
        <w:rPr>
          <w:rFonts w:eastAsiaTheme="minorEastAsia"/>
          <w:lang w:eastAsia="en-US"/>
        </w:rPr>
      </w:pPr>
      <w:r>
        <w:rPr>
          <w:rFonts w:eastAsiaTheme="minorEastAsia"/>
          <w:lang w:eastAsia="en-US"/>
        </w:rPr>
        <w:t xml:space="preserve">TfGM recognises that </w:t>
      </w:r>
      <w:r w:rsidRPr="006B1261">
        <w:rPr>
          <w:rFonts w:eastAsiaTheme="minorEastAsia"/>
          <w:lang w:eastAsia="en-US"/>
        </w:rPr>
        <w:t xml:space="preserve">transport that enables residents to travel through districts without moving through the city centre is important. However, transport infrastructure investments carry a substantial cost. </w:t>
      </w:r>
    </w:p>
    <w:p w14:paraId="71A84A68" w14:textId="2292AE4A" w:rsidR="00F409A0" w:rsidRPr="006B1261" w:rsidRDefault="006B1261" w:rsidP="006B1261">
      <w:pPr>
        <w:pStyle w:val="2TfGMHeading2"/>
        <w:rPr>
          <w:rFonts w:eastAsiaTheme="minorEastAsia"/>
          <w:lang w:eastAsia="en-US"/>
        </w:rPr>
      </w:pPr>
      <w:r w:rsidRPr="006B1261">
        <w:rPr>
          <w:rFonts w:eastAsiaTheme="minorEastAsia"/>
          <w:lang w:eastAsia="en-US"/>
        </w:rPr>
        <w:t xml:space="preserve">The </w:t>
      </w:r>
      <w:r>
        <w:rPr>
          <w:rFonts w:eastAsiaTheme="minorEastAsia"/>
          <w:lang w:eastAsia="en-US"/>
        </w:rPr>
        <w:t xml:space="preserve">GM </w:t>
      </w:r>
      <w:r w:rsidRPr="006B1261">
        <w:rPr>
          <w:rFonts w:eastAsiaTheme="minorEastAsia"/>
          <w:lang w:eastAsia="en-US"/>
        </w:rPr>
        <w:t xml:space="preserve">2040 </w:t>
      </w:r>
      <w:r>
        <w:rPr>
          <w:rFonts w:eastAsiaTheme="minorEastAsia"/>
          <w:lang w:eastAsia="en-US"/>
        </w:rPr>
        <w:t xml:space="preserve">Transport </w:t>
      </w:r>
      <w:r w:rsidRPr="006B1261">
        <w:rPr>
          <w:rFonts w:eastAsiaTheme="minorEastAsia"/>
          <w:lang w:eastAsia="en-US"/>
        </w:rPr>
        <w:t>Strategy highlights ways in which the provision of orbital travel around Greater Manchester could be covered through bus services (in partnership with other modes) that offer a variety of option for passengers including rapid transit buses and slower community services. However, to offer the best services for passengers we believe the transport network needs to be better integrated, enabling easy changes between modes. The integration of services across the network is one of the key ambitions in the 2040 Strategy and will be something we work towards in the short- an</w:t>
      </w:r>
      <w:r>
        <w:rPr>
          <w:rFonts w:eastAsiaTheme="minorEastAsia"/>
          <w:lang w:eastAsia="en-US"/>
        </w:rPr>
        <w:t>d long-term.</w:t>
      </w:r>
      <w:bookmarkStart w:id="0" w:name="_GoBack"/>
      <w:bookmarkEnd w:id="0"/>
    </w:p>
    <w:sectPr w:rsidR="00F409A0" w:rsidRPr="006B1261" w:rsidSect="00172639">
      <w:headerReference w:type="default" r:id="rId12"/>
      <w:footerReference w:type="default" r:id="rId13"/>
      <w:headerReference w:type="first" r:id="rId14"/>
      <w:footerReference w:type="first" r:id="rId15"/>
      <w:pgSz w:w="11906" w:h="16838"/>
      <w:pgMar w:top="1527" w:right="1797" w:bottom="1276" w:left="1440" w:header="0" w:footer="33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EC675" w14:textId="77777777" w:rsidR="000C441C" w:rsidRDefault="000C441C" w:rsidP="0072701B">
      <w:r>
        <w:separator/>
      </w:r>
    </w:p>
  </w:endnote>
  <w:endnote w:type="continuationSeparator" w:id="0">
    <w:p w14:paraId="5D9C6BB5" w14:textId="77777777" w:rsidR="000C441C" w:rsidRDefault="000C441C" w:rsidP="0072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656971"/>
      <w:docPartObj>
        <w:docPartGallery w:val="Page Numbers (Bottom of Page)"/>
        <w:docPartUnique/>
      </w:docPartObj>
    </w:sdtPr>
    <w:sdtEndPr>
      <w:rPr>
        <w:noProof/>
      </w:rPr>
    </w:sdtEndPr>
    <w:sdtContent>
      <w:p w14:paraId="2529F8F3" w14:textId="77777777" w:rsidR="000C441C" w:rsidRDefault="000C441C">
        <w:pPr>
          <w:pStyle w:val="Footer"/>
          <w:jc w:val="center"/>
        </w:pPr>
      </w:p>
      <w:p w14:paraId="74533342" w14:textId="77777777" w:rsidR="000C441C" w:rsidRDefault="006B1261" w:rsidP="00172639">
        <w:pPr>
          <w:pStyle w:val="Footer"/>
          <w:rPr>
            <w:noProof/>
          </w:rPr>
        </w:pPr>
      </w:p>
    </w:sdtContent>
  </w:sdt>
  <w:p w14:paraId="2529F8F5" w14:textId="3129B323" w:rsidR="000C441C" w:rsidRPr="00A92BB9" w:rsidRDefault="000C441C" w:rsidP="00B2323F">
    <w:pPr>
      <w:pStyle w:val="Footer"/>
      <w:tabs>
        <w:tab w:val="left" w:pos="-1134"/>
      </w:tabs>
      <w:ind w:left="-1134"/>
      <w:rPr>
        <w:sz w:val="20"/>
        <w:szCs w:val="20"/>
      </w:rPr>
    </w:pP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sidR="006B1261">
      <w:rPr>
        <w:noProof/>
        <w:sz w:val="20"/>
        <w:szCs w:val="20"/>
      </w:rPr>
      <w:t>3</w:t>
    </w:r>
    <w:r>
      <w:rPr>
        <w:sz w:val="20"/>
        <w:szCs w:val="20"/>
      </w:rPr>
      <w:fldChar w:fldCharType="end"/>
    </w:r>
    <w:r>
      <w:rPr>
        <w:sz w:val="20"/>
        <w:szCs w:val="20"/>
      </w:rPr>
      <w:tab/>
    </w:r>
  </w:p>
  <w:p w14:paraId="2529F8F6" w14:textId="77777777" w:rsidR="000C441C" w:rsidRDefault="000C4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F8F9" w14:textId="0B8288A0" w:rsidR="000C441C" w:rsidRDefault="000C441C" w:rsidP="00172639">
    <w:pPr>
      <w:pStyle w:val="Footer"/>
      <w:tabs>
        <w:tab w:val="left" w:pos="0"/>
      </w:tabs>
    </w:pPr>
    <w:r w:rsidRPr="009B18D4">
      <w:rPr>
        <w:rFonts w:asciiTheme="minorHAnsi" w:hAnsiTheme="minorHAnsi" w:cstheme="minorHAnsi"/>
        <w:sz w:val="22"/>
        <w:szCs w:val="22"/>
      </w:rPr>
      <w:tab/>
    </w:r>
    <w:r>
      <w:rPr>
        <w:rFonts w:asciiTheme="minorHAnsi" w:hAnsiTheme="minorHAnsi" w:cstheme="minorHAnsi"/>
        <w:sz w:val="22"/>
        <w:szCs w:val="22"/>
      </w:rPr>
      <w:fldChar w:fldCharType="begin"/>
    </w:r>
    <w:r>
      <w:rPr>
        <w:rFonts w:asciiTheme="minorHAnsi" w:hAnsiTheme="minorHAnsi" w:cstheme="minorHAnsi"/>
        <w:sz w:val="22"/>
        <w:szCs w:val="22"/>
      </w:rPr>
      <w:instrText xml:space="preserve"> PAGE  \* Arabic  \* MERGEFORMAT </w:instrText>
    </w:r>
    <w:r>
      <w:rPr>
        <w:rFonts w:asciiTheme="minorHAnsi" w:hAnsiTheme="minorHAnsi" w:cstheme="minorHAnsi"/>
        <w:sz w:val="22"/>
        <w:szCs w:val="22"/>
      </w:rPr>
      <w:fldChar w:fldCharType="separate"/>
    </w:r>
    <w:r w:rsidR="006B1261">
      <w:rPr>
        <w:rFonts w:asciiTheme="minorHAnsi" w:hAnsiTheme="minorHAnsi" w:cstheme="minorHAnsi"/>
        <w:noProof/>
        <w:sz w:val="22"/>
        <w:szCs w:val="22"/>
      </w:rPr>
      <w:t>1</w:t>
    </w:r>
    <w:r>
      <w:rPr>
        <w:rFonts w:asciiTheme="minorHAnsi" w:hAnsiTheme="minorHAnsi" w:cstheme="minorHAnsi"/>
        <w:sz w:val="22"/>
        <w:szCs w:val="22"/>
      </w:rPr>
      <w:fldChar w:fldCharType="end"/>
    </w:r>
    <w:r w:rsidRPr="009B18D4">
      <w:rPr>
        <w:rFonts w:asciiTheme="minorHAnsi" w:hAnsiTheme="minorHAnsi" w:cstheme="minorHAns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AA881" w14:textId="77777777" w:rsidR="000C441C" w:rsidRDefault="000C441C" w:rsidP="0072701B">
      <w:r>
        <w:separator/>
      </w:r>
    </w:p>
  </w:footnote>
  <w:footnote w:type="continuationSeparator" w:id="0">
    <w:p w14:paraId="32981DA4" w14:textId="77777777" w:rsidR="000C441C" w:rsidRDefault="000C441C" w:rsidP="00727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F8F2" w14:textId="77777777" w:rsidR="000C441C" w:rsidRDefault="000C441C" w:rsidP="00713B0B">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F8F7" w14:textId="77777777" w:rsidR="000C441C" w:rsidRDefault="000C441C" w:rsidP="00713B0B">
    <w:pPr>
      <w:pStyle w:val="Header"/>
      <w:tabs>
        <w:tab w:val="clear" w:pos="4513"/>
        <w:tab w:val="clear" w:pos="9026"/>
      </w:tabs>
    </w:pPr>
    <w:r>
      <w:rPr>
        <w:noProof/>
      </w:rPr>
      <w:drawing>
        <wp:anchor distT="0" distB="0" distL="114300" distR="114300" simplePos="0" relativeHeight="251659264" behindDoc="0" locked="1" layoutInCell="1" allowOverlap="0" wp14:anchorId="2529F8FA" wp14:editId="560E62DB">
          <wp:simplePos x="0" y="0"/>
          <wp:positionH relativeFrom="page">
            <wp:posOffset>19050</wp:posOffset>
          </wp:positionH>
          <wp:positionV relativeFrom="page">
            <wp:posOffset>9525</wp:posOffset>
          </wp:positionV>
          <wp:extent cx="7546340" cy="1507490"/>
          <wp:effectExtent l="0" t="0" r="0" b="0"/>
          <wp:wrapNone/>
          <wp:docPr id="1" name="Picture 1" descr="TfGM_brand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fGM_brand_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19270"/>
                  <a:stretch/>
                </pic:blipFill>
                <pic:spPr bwMode="auto">
                  <a:xfrm>
                    <a:off x="0" y="0"/>
                    <a:ext cx="7546340" cy="1507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F3A5D"/>
    <w:multiLevelType w:val="hybridMultilevel"/>
    <w:tmpl w:val="82520A8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AE3569D"/>
    <w:multiLevelType w:val="multilevel"/>
    <w:tmpl w:val="3160A674"/>
    <w:lvl w:ilvl="0">
      <w:start w:val="1"/>
      <w:numFmt w:val="bullet"/>
      <w:lvlText w:val=""/>
      <w:lvlJc w:val="left"/>
      <w:pPr>
        <w:ind w:left="851" w:hanging="851"/>
      </w:pPr>
      <w:rPr>
        <w:rFonts w:ascii="Symbol" w:hAnsi="Symbol" w:hint="default"/>
        <w:b/>
        <w:sz w:val="26"/>
      </w:rPr>
    </w:lvl>
    <w:lvl w:ilvl="1">
      <w:start w:val="1"/>
      <w:numFmt w:val="decimal"/>
      <w:lvlText w:val="%1.%2"/>
      <w:lvlJc w:val="left"/>
      <w:pPr>
        <w:ind w:left="851" w:hanging="851"/>
      </w:pPr>
      <w:rPr>
        <w:rFonts w:ascii="Calibri" w:hAnsi="Calibri" w:hint="default"/>
        <w:sz w:val="26"/>
      </w:rPr>
    </w:lvl>
    <w:lvl w:ilvl="2">
      <w:start w:val="1"/>
      <w:numFmt w:val="decimal"/>
      <w:lvlText w:val="%1.%2.%3"/>
      <w:lvlJc w:val="left"/>
      <w:pPr>
        <w:ind w:left="851" w:hanging="851"/>
      </w:pPr>
      <w:rPr>
        <w:rFonts w:ascii="Calibri" w:hAnsi="Calibri" w:hint="default"/>
        <w:sz w:val="26"/>
      </w:rPr>
    </w:lvl>
    <w:lvl w:ilvl="3">
      <w:start w:val="1"/>
      <w:numFmt w:val="bullet"/>
      <w:lvlText w:val=""/>
      <w:lvlJc w:val="left"/>
      <w:pPr>
        <w:ind w:left="567" w:firstLine="510"/>
      </w:pPr>
      <w:rPr>
        <w:rFonts w:ascii="Symbol" w:hAnsi="Symbol" w:hint="default"/>
        <w:color w:val="auto"/>
        <w:sz w:val="26"/>
      </w:rPr>
    </w:lvl>
    <w:lvl w:ilvl="4">
      <w:start w:val="1"/>
      <w:numFmt w:val="bullet"/>
      <w:lvlText w:val=""/>
      <w:lvlJc w:val="left"/>
      <w:pPr>
        <w:ind w:left="567" w:firstLine="851"/>
      </w:pPr>
      <w:rPr>
        <w:rFonts w:ascii="Symbol" w:hAnsi="Symbol" w:hint="default"/>
        <w:sz w:val="26"/>
      </w:rPr>
    </w:lvl>
    <w:lvl w:ilvl="5">
      <w:start w:val="1"/>
      <w:numFmt w:val="lowerRoman"/>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2">
    <w:nsid w:val="1B0002A8"/>
    <w:multiLevelType w:val="hybridMultilevel"/>
    <w:tmpl w:val="29FAD29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1DB96A10"/>
    <w:multiLevelType w:val="multilevel"/>
    <w:tmpl w:val="56544D4C"/>
    <w:numStyleLink w:val="GMPTEList"/>
  </w:abstractNum>
  <w:abstractNum w:abstractNumId="4">
    <w:nsid w:val="1F9303D4"/>
    <w:multiLevelType w:val="hybridMultilevel"/>
    <w:tmpl w:val="FF4A47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24371827"/>
    <w:multiLevelType w:val="hybridMultilevel"/>
    <w:tmpl w:val="71E83F9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297F3747"/>
    <w:multiLevelType w:val="hybridMultilevel"/>
    <w:tmpl w:val="A7FE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9F7D7E"/>
    <w:multiLevelType w:val="hybridMultilevel"/>
    <w:tmpl w:val="D0560848"/>
    <w:lvl w:ilvl="0" w:tplc="4EDE14F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14314AB"/>
    <w:multiLevelType w:val="hybridMultilevel"/>
    <w:tmpl w:val="41F83E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2A7646A"/>
    <w:multiLevelType w:val="multilevel"/>
    <w:tmpl w:val="0EF62ECC"/>
    <w:lvl w:ilvl="0">
      <w:start w:val="1"/>
      <w:numFmt w:val="decimal"/>
      <w:lvlText w:val="%1"/>
      <w:lvlJc w:val="left"/>
      <w:pPr>
        <w:ind w:left="851" w:hanging="851"/>
      </w:pPr>
      <w:rPr>
        <w:rFonts w:ascii="Calibri" w:hAnsi="Calibri" w:hint="default"/>
        <w:b/>
        <w:sz w:val="26"/>
      </w:rPr>
    </w:lvl>
    <w:lvl w:ilvl="1">
      <w:start w:val="1"/>
      <w:numFmt w:val="bullet"/>
      <w:lvlText w:val=""/>
      <w:lvlJc w:val="left"/>
      <w:pPr>
        <w:ind w:left="851" w:hanging="851"/>
      </w:pPr>
      <w:rPr>
        <w:rFonts w:ascii="Symbol" w:hAnsi="Symbol" w:hint="default"/>
        <w:sz w:val="26"/>
      </w:rPr>
    </w:lvl>
    <w:lvl w:ilvl="2">
      <w:start w:val="1"/>
      <w:numFmt w:val="decimal"/>
      <w:lvlText w:val="%1.%2.%3"/>
      <w:lvlJc w:val="left"/>
      <w:pPr>
        <w:ind w:left="851" w:hanging="851"/>
      </w:pPr>
      <w:rPr>
        <w:rFonts w:ascii="Calibri" w:hAnsi="Calibri" w:hint="default"/>
        <w:sz w:val="26"/>
      </w:rPr>
    </w:lvl>
    <w:lvl w:ilvl="3">
      <w:start w:val="1"/>
      <w:numFmt w:val="bullet"/>
      <w:lvlText w:val=""/>
      <w:lvlJc w:val="left"/>
      <w:pPr>
        <w:ind w:left="567" w:firstLine="510"/>
      </w:pPr>
      <w:rPr>
        <w:rFonts w:ascii="Symbol" w:hAnsi="Symbol" w:hint="default"/>
        <w:color w:val="auto"/>
        <w:sz w:val="26"/>
      </w:rPr>
    </w:lvl>
    <w:lvl w:ilvl="4">
      <w:start w:val="1"/>
      <w:numFmt w:val="bullet"/>
      <w:lvlText w:val=""/>
      <w:lvlJc w:val="left"/>
      <w:pPr>
        <w:ind w:left="567" w:firstLine="851"/>
      </w:pPr>
      <w:rPr>
        <w:rFonts w:ascii="Symbol" w:hAnsi="Symbol" w:hint="default"/>
        <w:sz w:val="26"/>
      </w:rPr>
    </w:lvl>
    <w:lvl w:ilvl="5">
      <w:start w:val="1"/>
      <w:numFmt w:val="lowerRoman"/>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10">
    <w:nsid w:val="3ACD1C32"/>
    <w:multiLevelType w:val="hybridMultilevel"/>
    <w:tmpl w:val="E41234C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3F682A48"/>
    <w:multiLevelType w:val="multilevel"/>
    <w:tmpl w:val="F8C2D070"/>
    <w:styleLink w:val="GMPTEReportList"/>
    <w:lvl w:ilvl="0">
      <w:start w:val="1"/>
      <w:numFmt w:val="decimal"/>
      <w:lvlText w:val="%1."/>
      <w:lvlJc w:val="left"/>
      <w:pPr>
        <w:ind w:left="851" w:hanging="851"/>
      </w:pPr>
      <w:rPr>
        <w:rFonts w:ascii="Arial" w:hAnsi="Arial" w:hint="default"/>
        <w:b/>
        <w:sz w:val="24"/>
      </w:rPr>
    </w:lvl>
    <w:lvl w:ilvl="1">
      <w:start w:val="1"/>
      <w:numFmt w:val="decimal"/>
      <w:lvlText w:val="%1.%2"/>
      <w:lvlJc w:val="left"/>
      <w:pPr>
        <w:ind w:left="851" w:hanging="851"/>
      </w:pPr>
      <w:rPr>
        <w:rFonts w:ascii="Arial" w:hAnsi="Arial" w:hint="default"/>
        <w:sz w:val="24"/>
      </w:rPr>
    </w:lvl>
    <w:lvl w:ilvl="2">
      <w:start w:val="1"/>
      <w:numFmt w:val="decimal"/>
      <w:lvlText w:val="%1.%2.%3"/>
      <w:lvlJc w:val="left"/>
      <w:pPr>
        <w:ind w:left="851" w:hanging="851"/>
      </w:pPr>
      <w:rPr>
        <w:rFonts w:ascii="Arial" w:hAnsi="Arial" w:hint="default"/>
        <w:sz w:val="24"/>
      </w:rPr>
    </w:lvl>
    <w:lvl w:ilvl="3">
      <w:start w:val="1"/>
      <w:numFmt w:val="bullet"/>
      <w:lvlText w:val=""/>
      <w:lvlJc w:val="left"/>
      <w:pPr>
        <w:tabs>
          <w:tab w:val="num" w:pos="822"/>
        </w:tabs>
        <w:ind w:left="1389" w:hanging="567"/>
      </w:pPr>
      <w:rPr>
        <w:rFonts w:ascii="Symbol" w:hAnsi="Symbol" w:hint="default"/>
        <w:color w:val="auto"/>
        <w:sz w:val="24"/>
      </w:rPr>
    </w:lvl>
    <w:lvl w:ilvl="4">
      <w:start w:val="1"/>
      <w:numFmt w:val="bullet"/>
      <w:lvlRestart w:val="0"/>
      <w:lvlText w:val=""/>
      <w:lvlJc w:val="left"/>
      <w:pPr>
        <w:ind w:left="1134" w:firstLine="31635"/>
      </w:pPr>
      <w:rPr>
        <w:rFonts w:ascii="Symbol" w:hAnsi="Symbol" w:hint="default"/>
        <w:color w:val="auto"/>
        <w:sz w:val="24"/>
      </w:rPr>
    </w:lvl>
    <w:lvl w:ilvl="5">
      <w:start w:val="1"/>
      <w:numFmt w:val="bullet"/>
      <w:lvlRestart w:val="0"/>
      <w:lvlText w:val=""/>
      <w:lvlJc w:val="left"/>
      <w:pPr>
        <w:ind w:left="1418" w:firstLine="31351"/>
      </w:pPr>
      <w:rPr>
        <w:rFonts w:ascii="Symbol" w:hAnsi="Symbol" w:hint="default"/>
        <w:color w:val="auto"/>
        <w:sz w:val="24"/>
      </w:rPr>
    </w:lvl>
    <w:lvl w:ilvl="6">
      <w:start w:val="1"/>
      <w:numFmt w:val="decimal"/>
      <w:lvlText w:val="Appendix %7."/>
      <w:lvlJc w:val="right"/>
      <w:pPr>
        <w:ind w:left="0" w:firstLine="0"/>
      </w:pPr>
      <w:rPr>
        <w:rFonts w:ascii="Arial" w:hAnsi="Arial" w:hint="default"/>
        <w:b/>
        <w:i w:val="0"/>
        <w:color w:val="auto"/>
        <w:sz w:val="24"/>
      </w:rPr>
    </w:lvl>
    <w:lvl w:ilvl="7">
      <w:start w:val="1"/>
      <w:numFmt w:val="decimal"/>
      <w:lvlText w:val="%7.%8"/>
      <w:lvlJc w:val="left"/>
      <w:pPr>
        <w:ind w:left="851" w:hanging="851"/>
      </w:pPr>
      <w:rPr>
        <w:rFonts w:ascii="Arial" w:hAnsi="Arial" w:hint="default"/>
        <w:sz w:val="24"/>
      </w:rPr>
    </w:lvl>
    <w:lvl w:ilvl="8">
      <w:start w:val="1"/>
      <w:numFmt w:val="decimal"/>
      <w:lvlText w:val="%7.%8.%9"/>
      <w:lvlJc w:val="left"/>
      <w:pPr>
        <w:ind w:left="851" w:hanging="851"/>
      </w:pPr>
      <w:rPr>
        <w:rFonts w:ascii="Arial" w:hAnsi="Arial" w:hint="default"/>
        <w:sz w:val="24"/>
      </w:rPr>
    </w:lvl>
  </w:abstractNum>
  <w:abstractNum w:abstractNumId="12">
    <w:nsid w:val="42AD1BF9"/>
    <w:multiLevelType w:val="hybridMultilevel"/>
    <w:tmpl w:val="A15E1D5C"/>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3">
    <w:nsid w:val="45842A97"/>
    <w:multiLevelType w:val="hybridMultilevel"/>
    <w:tmpl w:val="711A93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4B51180A"/>
    <w:multiLevelType w:val="hybridMultilevel"/>
    <w:tmpl w:val="DF0C81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523C177A"/>
    <w:multiLevelType w:val="multilevel"/>
    <w:tmpl w:val="56544D4C"/>
    <w:styleLink w:val="GMPTEList"/>
    <w:lvl w:ilvl="0">
      <w:start w:val="1"/>
      <w:numFmt w:val="decimal"/>
      <w:pStyle w:val="1TfGMHeading1"/>
      <w:lvlText w:val="%1"/>
      <w:lvlJc w:val="left"/>
      <w:pPr>
        <w:ind w:left="851" w:hanging="851"/>
      </w:pPr>
      <w:rPr>
        <w:rFonts w:ascii="Calibri" w:hAnsi="Calibri" w:hint="default"/>
        <w:b/>
        <w:sz w:val="26"/>
      </w:rPr>
    </w:lvl>
    <w:lvl w:ilvl="1">
      <w:start w:val="1"/>
      <w:numFmt w:val="decimal"/>
      <w:pStyle w:val="2TfGMHeading2"/>
      <w:lvlText w:val="%1.%2"/>
      <w:lvlJc w:val="left"/>
      <w:pPr>
        <w:ind w:left="851" w:hanging="851"/>
      </w:pPr>
      <w:rPr>
        <w:rFonts w:ascii="Calibri" w:hAnsi="Calibri" w:hint="default"/>
        <w:sz w:val="26"/>
      </w:rPr>
    </w:lvl>
    <w:lvl w:ilvl="2">
      <w:start w:val="1"/>
      <w:numFmt w:val="decimal"/>
      <w:pStyle w:val="3TfGMHeading3"/>
      <w:lvlText w:val="%1.%2.%3"/>
      <w:lvlJc w:val="left"/>
      <w:pPr>
        <w:ind w:left="851" w:hanging="851"/>
      </w:pPr>
      <w:rPr>
        <w:rFonts w:ascii="Calibri" w:hAnsi="Calibri" w:hint="default"/>
        <w:sz w:val="26"/>
      </w:rPr>
    </w:lvl>
    <w:lvl w:ilvl="3">
      <w:start w:val="1"/>
      <w:numFmt w:val="bullet"/>
      <w:pStyle w:val="4TfGMBullet1"/>
      <w:lvlText w:val=""/>
      <w:lvlJc w:val="left"/>
      <w:pPr>
        <w:ind w:left="567" w:firstLine="510"/>
      </w:pPr>
      <w:rPr>
        <w:rFonts w:ascii="Symbol" w:hAnsi="Symbol" w:hint="default"/>
        <w:color w:val="auto"/>
        <w:sz w:val="26"/>
      </w:rPr>
    </w:lvl>
    <w:lvl w:ilvl="4">
      <w:start w:val="1"/>
      <w:numFmt w:val="bullet"/>
      <w:pStyle w:val="5TfGMBullet2"/>
      <w:lvlText w:val=""/>
      <w:lvlJc w:val="left"/>
      <w:pPr>
        <w:ind w:left="567" w:firstLine="851"/>
      </w:pPr>
      <w:rPr>
        <w:rFonts w:ascii="Symbol" w:hAnsi="Symbol" w:hint="default"/>
        <w:sz w:val="26"/>
      </w:rPr>
    </w:lvl>
    <w:lvl w:ilvl="5">
      <w:start w:val="1"/>
      <w:numFmt w:val="lowerRoman"/>
      <w:pStyle w:val="6TfGMRecommendations"/>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16">
    <w:nsid w:val="55921135"/>
    <w:multiLevelType w:val="hybridMultilevel"/>
    <w:tmpl w:val="95625B2C"/>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7">
    <w:nsid w:val="560E0D84"/>
    <w:multiLevelType w:val="hybridMultilevel"/>
    <w:tmpl w:val="8966B99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nsid w:val="5A2D3055"/>
    <w:multiLevelType w:val="hybridMultilevel"/>
    <w:tmpl w:val="B30C75A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5AD91298"/>
    <w:multiLevelType w:val="hybridMultilevel"/>
    <w:tmpl w:val="2C60B2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nsid w:val="5B9F211E"/>
    <w:multiLevelType w:val="hybridMultilevel"/>
    <w:tmpl w:val="8988A9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nsid w:val="5F6563BC"/>
    <w:multiLevelType w:val="hybridMultilevel"/>
    <w:tmpl w:val="D7FEABA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nsid w:val="62287756"/>
    <w:multiLevelType w:val="hybridMultilevel"/>
    <w:tmpl w:val="BF70CAE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nsid w:val="64CD4EFC"/>
    <w:multiLevelType w:val="hybridMultilevel"/>
    <w:tmpl w:val="ABAEC7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nsid w:val="752B5236"/>
    <w:multiLevelType w:val="hybridMultilevel"/>
    <w:tmpl w:val="4E2682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nsid w:val="7B471BB9"/>
    <w:multiLevelType w:val="hybridMultilevel"/>
    <w:tmpl w:val="6C00CE8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nsid w:val="7D60126A"/>
    <w:multiLevelType w:val="hybridMultilevel"/>
    <w:tmpl w:val="5270FFE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5"/>
  </w:num>
  <w:num w:numId="2">
    <w:abstractNumId w:val="11"/>
  </w:num>
  <w:num w:numId="3">
    <w:abstractNumId w:val="3"/>
  </w:num>
  <w:num w:numId="4">
    <w:abstractNumId w:val="26"/>
  </w:num>
  <w:num w:numId="5">
    <w:abstractNumId w:val="21"/>
  </w:num>
  <w:num w:numId="6">
    <w:abstractNumId w:val="12"/>
  </w:num>
  <w:num w:numId="7">
    <w:abstractNumId w:val="18"/>
  </w:num>
  <w:num w:numId="8">
    <w:abstractNumId w:val="16"/>
  </w:num>
  <w:num w:numId="9">
    <w:abstractNumId w:val="3"/>
  </w:num>
  <w:num w:numId="10">
    <w:abstractNumId w:val="3"/>
  </w:num>
  <w:num w:numId="11">
    <w:abstractNumId w:val="3"/>
  </w:num>
  <w:num w:numId="12">
    <w:abstractNumId w:val="3"/>
  </w:num>
  <w:num w:numId="13">
    <w:abstractNumId w:val="4"/>
  </w:num>
  <w:num w:numId="14">
    <w:abstractNumId w:val="1"/>
  </w:num>
  <w:num w:numId="15">
    <w:abstractNumId w:val="25"/>
  </w:num>
  <w:num w:numId="16">
    <w:abstractNumId w:val="7"/>
  </w:num>
  <w:num w:numId="17">
    <w:abstractNumId w:val="5"/>
  </w:num>
  <w:num w:numId="18">
    <w:abstractNumId w:val="3"/>
  </w:num>
  <w:num w:numId="19">
    <w:abstractNumId w:val="23"/>
  </w:num>
  <w:num w:numId="20">
    <w:abstractNumId w:val="17"/>
  </w:num>
  <w:num w:numId="21">
    <w:abstractNumId w:val="22"/>
  </w:num>
  <w:num w:numId="22">
    <w:abstractNumId w:val="3"/>
  </w:num>
  <w:num w:numId="23">
    <w:abstractNumId w:val="3"/>
  </w:num>
  <w:num w:numId="24">
    <w:abstractNumId w:val="3"/>
  </w:num>
  <w:num w:numId="25">
    <w:abstractNumId w:val="3"/>
  </w:num>
  <w:num w:numId="26">
    <w:abstractNumId w:val="8"/>
  </w:num>
  <w:num w:numId="27">
    <w:abstractNumId w:val="3"/>
  </w:num>
  <w:num w:numId="28">
    <w:abstractNumId w:val="3"/>
  </w:num>
  <w:num w:numId="29">
    <w:abstractNumId w:val="10"/>
  </w:num>
  <w:num w:numId="30">
    <w:abstractNumId w:val="14"/>
  </w:num>
  <w:num w:numId="31">
    <w:abstractNumId w:val="24"/>
  </w:num>
  <w:num w:numId="32">
    <w:abstractNumId w:val="3"/>
  </w:num>
  <w:num w:numId="33">
    <w:abstractNumId w:val="3"/>
  </w:num>
  <w:num w:numId="34">
    <w:abstractNumId w:val="9"/>
  </w:num>
  <w:num w:numId="35">
    <w:abstractNumId w:val="6"/>
  </w:num>
  <w:num w:numId="36">
    <w:abstractNumId w:val="3"/>
  </w:num>
  <w:num w:numId="37">
    <w:abstractNumId w:val="0"/>
  </w:num>
  <w:num w:numId="38">
    <w:abstractNumId w:val="2"/>
  </w:num>
  <w:num w:numId="39">
    <w:abstractNumId w:val="19"/>
  </w:num>
  <w:num w:numId="40">
    <w:abstractNumId w:val="3"/>
  </w:num>
  <w:num w:numId="41">
    <w:abstractNumId w:val="13"/>
  </w:num>
  <w:num w:numId="42">
    <w:abstractNumId w:val="3"/>
  </w:num>
  <w:num w:numId="43">
    <w:abstractNumId w:val="20"/>
  </w:num>
  <w:num w:numId="44">
    <w:abstractNumId w:val="3"/>
  </w:num>
  <w:num w:numId="45">
    <w:abstractNumId w:val="3"/>
  </w:num>
  <w:num w:numId="46">
    <w:abstractNumId w:val="3"/>
  </w:num>
  <w:num w:numId="4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B7"/>
    <w:rsid w:val="00003D01"/>
    <w:rsid w:val="000064A2"/>
    <w:rsid w:val="00013C2F"/>
    <w:rsid w:val="0001785B"/>
    <w:rsid w:val="00022188"/>
    <w:rsid w:val="00035776"/>
    <w:rsid w:val="00054018"/>
    <w:rsid w:val="0005490B"/>
    <w:rsid w:val="00087ED9"/>
    <w:rsid w:val="00094A70"/>
    <w:rsid w:val="00095236"/>
    <w:rsid w:val="000960A4"/>
    <w:rsid w:val="000B625F"/>
    <w:rsid w:val="000C441C"/>
    <w:rsid w:val="000E1D63"/>
    <w:rsid w:val="000E5D69"/>
    <w:rsid w:val="000E6E93"/>
    <w:rsid w:val="00101900"/>
    <w:rsid w:val="001019DD"/>
    <w:rsid w:val="001055AD"/>
    <w:rsid w:val="00116047"/>
    <w:rsid w:val="001225F8"/>
    <w:rsid w:val="001276FC"/>
    <w:rsid w:val="00133109"/>
    <w:rsid w:val="00143EB0"/>
    <w:rsid w:val="001511DA"/>
    <w:rsid w:val="001536B7"/>
    <w:rsid w:val="00172639"/>
    <w:rsid w:val="0017729D"/>
    <w:rsid w:val="00181E81"/>
    <w:rsid w:val="001835D7"/>
    <w:rsid w:val="00184C1C"/>
    <w:rsid w:val="00192FBD"/>
    <w:rsid w:val="00193EAE"/>
    <w:rsid w:val="00195FCC"/>
    <w:rsid w:val="00197A37"/>
    <w:rsid w:val="001B0BDE"/>
    <w:rsid w:val="001B5BCC"/>
    <w:rsid w:val="001B6D6A"/>
    <w:rsid w:val="001C62FA"/>
    <w:rsid w:val="001F2676"/>
    <w:rsid w:val="001F5C7B"/>
    <w:rsid w:val="00202C02"/>
    <w:rsid w:val="0022332B"/>
    <w:rsid w:val="002252A1"/>
    <w:rsid w:val="00245189"/>
    <w:rsid w:val="002452F8"/>
    <w:rsid w:val="002461F2"/>
    <w:rsid w:val="002618FD"/>
    <w:rsid w:val="0026363C"/>
    <w:rsid w:val="00271AF7"/>
    <w:rsid w:val="00281F59"/>
    <w:rsid w:val="00286CF4"/>
    <w:rsid w:val="00290EF0"/>
    <w:rsid w:val="00295B87"/>
    <w:rsid w:val="00295C1D"/>
    <w:rsid w:val="002A6DEC"/>
    <w:rsid w:val="002A7CFC"/>
    <w:rsid w:val="002B4C8E"/>
    <w:rsid w:val="002C1A69"/>
    <w:rsid w:val="002C40AE"/>
    <w:rsid w:val="002D48CC"/>
    <w:rsid w:val="002E1A66"/>
    <w:rsid w:val="002F1371"/>
    <w:rsid w:val="003060A7"/>
    <w:rsid w:val="00324F5E"/>
    <w:rsid w:val="00340458"/>
    <w:rsid w:val="00354D71"/>
    <w:rsid w:val="0037134E"/>
    <w:rsid w:val="00371A8D"/>
    <w:rsid w:val="00382D2B"/>
    <w:rsid w:val="00387226"/>
    <w:rsid w:val="00396A8A"/>
    <w:rsid w:val="003A00BA"/>
    <w:rsid w:val="003A69E6"/>
    <w:rsid w:val="003B5F21"/>
    <w:rsid w:val="003B6934"/>
    <w:rsid w:val="003C7A7A"/>
    <w:rsid w:val="003D01C9"/>
    <w:rsid w:val="003D3F20"/>
    <w:rsid w:val="003F1D9D"/>
    <w:rsid w:val="003F1E1F"/>
    <w:rsid w:val="003F4A81"/>
    <w:rsid w:val="00405FB4"/>
    <w:rsid w:val="004252EA"/>
    <w:rsid w:val="00430E56"/>
    <w:rsid w:val="00461D85"/>
    <w:rsid w:val="00464F7B"/>
    <w:rsid w:val="004804C5"/>
    <w:rsid w:val="0048070D"/>
    <w:rsid w:val="004817F1"/>
    <w:rsid w:val="00482EF3"/>
    <w:rsid w:val="0048681A"/>
    <w:rsid w:val="00490C15"/>
    <w:rsid w:val="00497082"/>
    <w:rsid w:val="004A118C"/>
    <w:rsid w:val="004A1999"/>
    <w:rsid w:val="004A2D4B"/>
    <w:rsid w:val="004A442F"/>
    <w:rsid w:val="004C0683"/>
    <w:rsid w:val="004D0240"/>
    <w:rsid w:val="004E04AC"/>
    <w:rsid w:val="00501F00"/>
    <w:rsid w:val="0051350C"/>
    <w:rsid w:val="0051477E"/>
    <w:rsid w:val="0051548A"/>
    <w:rsid w:val="005208FE"/>
    <w:rsid w:val="0052439E"/>
    <w:rsid w:val="005276A1"/>
    <w:rsid w:val="005319B4"/>
    <w:rsid w:val="00553C58"/>
    <w:rsid w:val="00562F88"/>
    <w:rsid w:val="005728C6"/>
    <w:rsid w:val="00585124"/>
    <w:rsid w:val="005C6249"/>
    <w:rsid w:val="005D39FA"/>
    <w:rsid w:val="005D6DDF"/>
    <w:rsid w:val="005E12CC"/>
    <w:rsid w:val="005F5457"/>
    <w:rsid w:val="00622735"/>
    <w:rsid w:val="006302F8"/>
    <w:rsid w:val="0063165E"/>
    <w:rsid w:val="00637B63"/>
    <w:rsid w:val="0064322E"/>
    <w:rsid w:val="00643B3F"/>
    <w:rsid w:val="00651ED5"/>
    <w:rsid w:val="00651F82"/>
    <w:rsid w:val="00656C94"/>
    <w:rsid w:val="00663CBE"/>
    <w:rsid w:val="006750E7"/>
    <w:rsid w:val="00681D98"/>
    <w:rsid w:val="00694F56"/>
    <w:rsid w:val="006A62F5"/>
    <w:rsid w:val="006B1261"/>
    <w:rsid w:val="006E5679"/>
    <w:rsid w:val="006F1E3E"/>
    <w:rsid w:val="00704762"/>
    <w:rsid w:val="007130EB"/>
    <w:rsid w:val="00713B0B"/>
    <w:rsid w:val="0072701B"/>
    <w:rsid w:val="007401AA"/>
    <w:rsid w:val="00745E30"/>
    <w:rsid w:val="00747CB6"/>
    <w:rsid w:val="00772BDB"/>
    <w:rsid w:val="00781407"/>
    <w:rsid w:val="00783D6C"/>
    <w:rsid w:val="007873DF"/>
    <w:rsid w:val="00793A87"/>
    <w:rsid w:val="00794704"/>
    <w:rsid w:val="00797CAD"/>
    <w:rsid w:val="007A068D"/>
    <w:rsid w:val="007A7514"/>
    <w:rsid w:val="007B337D"/>
    <w:rsid w:val="007B532B"/>
    <w:rsid w:val="007B64A7"/>
    <w:rsid w:val="007C13BD"/>
    <w:rsid w:val="007E187D"/>
    <w:rsid w:val="007F0FA3"/>
    <w:rsid w:val="008016B9"/>
    <w:rsid w:val="00802F0A"/>
    <w:rsid w:val="008118BF"/>
    <w:rsid w:val="008175FB"/>
    <w:rsid w:val="008414F5"/>
    <w:rsid w:val="00850EBF"/>
    <w:rsid w:val="00852D53"/>
    <w:rsid w:val="00854B98"/>
    <w:rsid w:val="00867492"/>
    <w:rsid w:val="00872FD8"/>
    <w:rsid w:val="00873B1D"/>
    <w:rsid w:val="00882637"/>
    <w:rsid w:val="00883F86"/>
    <w:rsid w:val="00891718"/>
    <w:rsid w:val="00892884"/>
    <w:rsid w:val="008A0D0C"/>
    <w:rsid w:val="008A43E9"/>
    <w:rsid w:val="008A50EA"/>
    <w:rsid w:val="008C6034"/>
    <w:rsid w:val="008D291A"/>
    <w:rsid w:val="008D368F"/>
    <w:rsid w:val="008F00F6"/>
    <w:rsid w:val="008F7D09"/>
    <w:rsid w:val="00900316"/>
    <w:rsid w:val="00916805"/>
    <w:rsid w:val="00924B0F"/>
    <w:rsid w:val="0093405E"/>
    <w:rsid w:val="00965703"/>
    <w:rsid w:val="0097047B"/>
    <w:rsid w:val="00971626"/>
    <w:rsid w:val="00973E24"/>
    <w:rsid w:val="00984150"/>
    <w:rsid w:val="00991E30"/>
    <w:rsid w:val="00992181"/>
    <w:rsid w:val="00997868"/>
    <w:rsid w:val="009B18D4"/>
    <w:rsid w:val="009B3E1A"/>
    <w:rsid w:val="009B7C9A"/>
    <w:rsid w:val="009C4909"/>
    <w:rsid w:val="009C6DEA"/>
    <w:rsid w:val="009D42C2"/>
    <w:rsid w:val="009E6AF7"/>
    <w:rsid w:val="009F1CC2"/>
    <w:rsid w:val="009F34BB"/>
    <w:rsid w:val="009F5307"/>
    <w:rsid w:val="009F5D24"/>
    <w:rsid w:val="00A157A2"/>
    <w:rsid w:val="00A25BF5"/>
    <w:rsid w:val="00A404AE"/>
    <w:rsid w:val="00A4671E"/>
    <w:rsid w:val="00A52DFF"/>
    <w:rsid w:val="00A63F83"/>
    <w:rsid w:val="00A662BA"/>
    <w:rsid w:val="00A71D4B"/>
    <w:rsid w:val="00A74173"/>
    <w:rsid w:val="00A92BB9"/>
    <w:rsid w:val="00AA37D0"/>
    <w:rsid w:val="00AB6A3B"/>
    <w:rsid w:val="00AC55BF"/>
    <w:rsid w:val="00AF1C5A"/>
    <w:rsid w:val="00AF3467"/>
    <w:rsid w:val="00B0253C"/>
    <w:rsid w:val="00B0336B"/>
    <w:rsid w:val="00B154FC"/>
    <w:rsid w:val="00B15B65"/>
    <w:rsid w:val="00B2178D"/>
    <w:rsid w:val="00B2323F"/>
    <w:rsid w:val="00B251FD"/>
    <w:rsid w:val="00B257B2"/>
    <w:rsid w:val="00B33785"/>
    <w:rsid w:val="00B468AB"/>
    <w:rsid w:val="00B50474"/>
    <w:rsid w:val="00B50FDD"/>
    <w:rsid w:val="00B5391D"/>
    <w:rsid w:val="00B6286E"/>
    <w:rsid w:val="00B675CC"/>
    <w:rsid w:val="00B74FB3"/>
    <w:rsid w:val="00B80D35"/>
    <w:rsid w:val="00B842BB"/>
    <w:rsid w:val="00B85FF8"/>
    <w:rsid w:val="00B90925"/>
    <w:rsid w:val="00B944A1"/>
    <w:rsid w:val="00B95A20"/>
    <w:rsid w:val="00BB0889"/>
    <w:rsid w:val="00BB2B9F"/>
    <w:rsid w:val="00BB3AEF"/>
    <w:rsid w:val="00BD23DC"/>
    <w:rsid w:val="00BD5B5D"/>
    <w:rsid w:val="00BE045D"/>
    <w:rsid w:val="00C1095A"/>
    <w:rsid w:val="00C17D5F"/>
    <w:rsid w:val="00C24086"/>
    <w:rsid w:val="00C241E1"/>
    <w:rsid w:val="00C36323"/>
    <w:rsid w:val="00C41972"/>
    <w:rsid w:val="00C513C2"/>
    <w:rsid w:val="00C60972"/>
    <w:rsid w:val="00C711D8"/>
    <w:rsid w:val="00C741BA"/>
    <w:rsid w:val="00C75439"/>
    <w:rsid w:val="00C865F9"/>
    <w:rsid w:val="00CC1C8F"/>
    <w:rsid w:val="00CC511B"/>
    <w:rsid w:val="00CC626D"/>
    <w:rsid w:val="00CC7D32"/>
    <w:rsid w:val="00CC7F49"/>
    <w:rsid w:val="00CE15DF"/>
    <w:rsid w:val="00CE396E"/>
    <w:rsid w:val="00CE3BAB"/>
    <w:rsid w:val="00CE48EF"/>
    <w:rsid w:val="00CE6F41"/>
    <w:rsid w:val="00CF1F6D"/>
    <w:rsid w:val="00CF78A5"/>
    <w:rsid w:val="00D04C71"/>
    <w:rsid w:val="00D41F10"/>
    <w:rsid w:val="00D567C0"/>
    <w:rsid w:val="00D5760E"/>
    <w:rsid w:val="00D625E3"/>
    <w:rsid w:val="00D91854"/>
    <w:rsid w:val="00D92D57"/>
    <w:rsid w:val="00DA31E8"/>
    <w:rsid w:val="00DA67D6"/>
    <w:rsid w:val="00DB18FF"/>
    <w:rsid w:val="00DC54BB"/>
    <w:rsid w:val="00DD6D9A"/>
    <w:rsid w:val="00DE76FB"/>
    <w:rsid w:val="00E001AA"/>
    <w:rsid w:val="00E10A0F"/>
    <w:rsid w:val="00E20A32"/>
    <w:rsid w:val="00E331B7"/>
    <w:rsid w:val="00E33F4D"/>
    <w:rsid w:val="00E40CFC"/>
    <w:rsid w:val="00E41FA4"/>
    <w:rsid w:val="00E56AEE"/>
    <w:rsid w:val="00E63736"/>
    <w:rsid w:val="00E72482"/>
    <w:rsid w:val="00E81004"/>
    <w:rsid w:val="00EB0CA2"/>
    <w:rsid w:val="00EC65A5"/>
    <w:rsid w:val="00EC7C6E"/>
    <w:rsid w:val="00ED73CC"/>
    <w:rsid w:val="00F01248"/>
    <w:rsid w:val="00F02D20"/>
    <w:rsid w:val="00F174A5"/>
    <w:rsid w:val="00F3129B"/>
    <w:rsid w:val="00F32A41"/>
    <w:rsid w:val="00F409A0"/>
    <w:rsid w:val="00F52EEE"/>
    <w:rsid w:val="00F61B4C"/>
    <w:rsid w:val="00F7669C"/>
    <w:rsid w:val="00F9362C"/>
    <w:rsid w:val="00F936E3"/>
    <w:rsid w:val="00FB5E7D"/>
    <w:rsid w:val="00FB66A5"/>
    <w:rsid w:val="00FC450D"/>
    <w:rsid w:val="00FD04A6"/>
    <w:rsid w:val="00FE7248"/>
    <w:rsid w:val="00FF28BB"/>
    <w:rsid w:val="00FF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2529F8E1"/>
  <w15:docId w15:val="{F5192734-CB83-4106-BB6F-3F05A7FB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7A2"/>
  </w:style>
  <w:style w:type="paragraph" w:styleId="Heading7">
    <w:name w:val="heading 7"/>
    <w:basedOn w:val="Normal"/>
    <w:next w:val="Normal"/>
    <w:link w:val="Heading7Char"/>
    <w:semiHidden/>
    <w:unhideWhenUsed/>
    <w:qFormat/>
    <w:rsid w:val="006302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fGMHeading1">
    <w:name w:val="#1 TfGM Heading 1"/>
    <w:next w:val="2TfGMHeading2"/>
    <w:uiPriority w:val="99"/>
    <w:qFormat/>
    <w:rsid w:val="007F0FA3"/>
    <w:pPr>
      <w:numPr>
        <w:numId w:val="3"/>
      </w:numPr>
      <w:spacing w:before="480" w:after="480"/>
    </w:pPr>
    <w:rPr>
      <w:rFonts w:ascii="Calibri" w:hAnsi="Calibri"/>
      <w:b/>
      <w:sz w:val="26"/>
    </w:rPr>
  </w:style>
  <w:style w:type="paragraph" w:customStyle="1" w:styleId="2TfGMHeading2">
    <w:name w:val="#2 TfGM Heading 2"/>
    <w:basedOn w:val="1TfGMHeading1"/>
    <w:uiPriority w:val="99"/>
    <w:qFormat/>
    <w:rsid w:val="0064322E"/>
    <w:pPr>
      <w:numPr>
        <w:ilvl w:val="1"/>
      </w:numPr>
      <w:spacing w:before="240" w:after="240"/>
    </w:pPr>
    <w:rPr>
      <w:b w:val="0"/>
    </w:rPr>
  </w:style>
  <w:style w:type="paragraph" w:customStyle="1" w:styleId="3TfGMHeading3">
    <w:name w:val="#3 TfGM Heading 3"/>
    <w:basedOn w:val="2TfGMHeading2"/>
    <w:uiPriority w:val="99"/>
    <w:qFormat/>
    <w:rsid w:val="0064322E"/>
    <w:pPr>
      <w:numPr>
        <w:ilvl w:val="2"/>
      </w:numPr>
    </w:pPr>
  </w:style>
  <w:style w:type="paragraph" w:customStyle="1" w:styleId="4TfGMBullet1">
    <w:name w:val="#4 TfGM Bullet 1"/>
    <w:basedOn w:val="3TfGMHeading3"/>
    <w:uiPriority w:val="99"/>
    <w:qFormat/>
    <w:rsid w:val="0064322E"/>
    <w:pPr>
      <w:numPr>
        <w:ilvl w:val="3"/>
      </w:numPr>
      <w:spacing w:before="120" w:after="120"/>
    </w:pPr>
  </w:style>
  <w:style w:type="paragraph" w:customStyle="1" w:styleId="5TfGMBullet2">
    <w:name w:val="#5 TfGM Bullet 2"/>
    <w:basedOn w:val="4TfGMBullet1"/>
    <w:uiPriority w:val="99"/>
    <w:qFormat/>
    <w:rsid w:val="0064322E"/>
    <w:pPr>
      <w:numPr>
        <w:ilvl w:val="4"/>
      </w:numPr>
    </w:pPr>
  </w:style>
  <w:style w:type="paragraph" w:customStyle="1" w:styleId="6TfGMRecommendations">
    <w:name w:val="#6 TfGM Recommendations"/>
    <w:basedOn w:val="5TfGMBullet2"/>
    <w:uiPriority w:val="99"/>
    <w:qFormat/>
    <w:rsid w:val="00DE76FB"/>
    <w:pPr>
      <w:numPr>
        <w:ilvl w:val="5"/>
      </w:numPr>
    </w:pPr>
  </w:style>
  <w:style w:type="numbering" w:customStyle="1" w:styleId="GMPTEList">
    <w:name w:val="#GMPTE List"/>
    <w:rsid w:val="0064322E"/>
    <w:pPr>
      <w:numPr>
        <w:numId w:val="1"/>
      </w:numPr>
    </w:pPr>
  </w:style>
  <w:style w:type="paragraph" w:styleId="Header">
    <w:name w:val="header"/>
    <w:basedOn w:val="Normal"/>
    <w:link w:val="HeaderChar"/>
    <w:uiPriority w:val="99"/>
    <w:rsid w:val="0072701B"/>
    <w:pPr>
      <w:tabs>
        <w:tab w:val="center" w:pos="4513"/>
        <w:tab w:val="right" w:pos="9026"/>
      </w:tabs>
    </w:pPr>
  </w:style>
  <w:style w:type="character" w:customStyle="1" w:styleId="HeaderChar">
    <w:name w:val="Header Char"/>
    <w:basedOn w:val="DefaultParagraphFont"/>
    <w:link w:val="Header"/>
    <w:uiPriority w:val="99"/>
    <w:rsid w:val="0072701B"/>
  </w:style>
  <w:style w:type="paragraph" w:styleId="Footer">
    <w:name w:val="footer"/>
    <w:basedOn w:val="Normal"/>
    <w:link w:val="FooterChar"/>
    <w:uiPriority w:val="99"/>
    <w:rsid w:val="0072701B"/>
    <w:pPr>
      <w:tabs>
        <w:tab w:val="center" w:pos="4513"/>
        <w:tab w:val="right" w:pos="9026"/>
      </w:tabs>
    </w:pPr>
  </w:style>
  <w:style w:type="character" w:customStyle="1" w:styleId="FooterChar">
    <w:name w:val="Footer Char"/>
    <w:basedOn w:val="DefaultParagraphFont"/>
    <w:link w:val="Footer"/>
    <w:uiPriority w:val="99"/>
    <w:rsid w:val="0072701B"/>
  </w:style>
  <w:style w:type="paragraph" w:styleId="BalloonText">
    <w:name w:val="Balloon Text"/>
    <w:basedOn w:val="Normal"/>
    <w:link w:val="BalloonTextChar"/>
    <w:rsid w:val="00713B0B"/>
    <w:rPr>
      <w:rFonts w:ascii="Tahoma" w:hAnsi="Tahoma" w:cs="Tahoma"/>
      <w:sz w:val="16"/>
      <w:szCs w:val="16"/>
    </w:rPr>
  </w:style>
  <w:style w:type="character" w:customStyle="1" w:styleId="BalloonTextChar">
    <w:name w:val="Balloon Text Char"/>
    <w:basedOn w:val="DefaultParagraphFont"/>
    <w:link w:val="BalloonText"/>
    <w:rsid w:val="00713B0B"/>
    <w:rPr>
      <w:rFonts w:ascii="Tahoma" w:hAnsi="Tahoma" w:cs="Tahoma"/>
      <w:sz w:val="16"/>
      <w:szCs w:val="16"/>
    </w:rPr>
  </w:style>
  <w:style w:type="character" w:styleId="SubtleEmphasis">
    <w:name w:val="Subtle Emphasis"/>
    <w:basedOn w:val="DefaultParagraphFont"/>
    <w:uiPriority w:val="19"/>
    <w:qFormat/>
    <w:rsid w:val="00482EF3"/>
    <w:rPr>
      <w:i/>
      <w:iCs/>
      <w:color w:val="7F7F7F" w:themeColor="text1" w:themeTint="80"/>
    </w:rPr>
  </w:style>
  <w:style w:type="table" w:styleId="Table3Deffects3">
    <w:name w:val="Table 3D effects 3"/>
    <w:basedOn w:val="TableNormal"/>
    <w:rsid w:val="00482EF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GMPTETable">
    <w:name w:val="GMPTE Table"/>
    <w:basedOn w:val="Normal"/>
    <w:qFormat/>
    <w:rsid w:val="00482EF3"/>
    <w:rPr>
      <w:b/>
      <w:bCs/>
      <w:lang w:eastAsia="en-US"/>
    </w:rPr>
  </w:style>
  <w:style w:type="paragraph" w:customStyle="1" w:styleId="8TfGMStandardDocumentText">
    <w:name w:val="#8 TfGM Standard Document Text"/>
    <w:qFormat/>
    <w:rsid w:val="007F0FA3"/>
    <w:pPr>
      <w:spacing w:after="240"/>
    </w:pPr>
    <w:rPr>
      <w:rFonts w:ascii="Calibri" w:hAnsi="Calibri"/>
      <w:sz w:val="26"/>
    </w:rPr>
  </w:style>
  <w:style w:type="paragraph" w:customStyle="1" w:styleId="TfGMReportHeading">
    <w:name w:val="##TfGM Report Heading"/>
    <w:next w:val="1TfGMHeading1"/>
    <w:qFormat/>
    <w:rsid w:val="007F0FA3"/>
    <w:pPr>
      <w:spacing w:after="480"/>
      <w:ind w:left="851"/>
    </w:pPr>
    <w:rPr>
      <w:rFonts w:ascii="Calibri" w:eastAsiaTheme="majorEastAsia" w:hAnsi="Calibri" w:cstheme="majorBidi"/>
      <w:b/>
      <w:noProof/>
      <w:sz w:val="26"/>
      <w:szCs w:val="44"/>
      <w:lang w:eastAsia="en-US"/>
    </w:rPr>
  </w:style>
  <w:style w:type="paragraph" w:customStyle="1" w:styleId="TfGMDocumentHeading">
    <w:name w:val="##TfGM Document Heading"/>
    <w:next w:val="8TfGMStandardDocumentText"/>
    <w:qFormat/>
    <w:rsid w:val="007F0FA3"/>
    <w:pPr>
      <w:spacing w:after="480"/>
    </w:pPr>
    <w:rPr>
      <w:rFonts w:ascii="Calibri" w:eastAsiaTheme="majorEastAsia" w:hAnsi="Calibri" w:cstheme="majorBidi"/>
      <w:b/>
      <w:noProof/>
      <w:sz w:val="26"/>
      <w:szCs w:val="44"/>
      <w:lang w:eastAsia="en-US"/>
    </w:rPr>
  </w:style>
  <w:style w:type="paragraph" w:styleId="TOC1">
    <w:name w:val="toc 1"/>
    <w:basedOn w:val="Normal"/>
    <w:next w:val="Normal"/>
    <w:autoRedefine/>
    <w:rsid w:val="00E56AEE"/>
    <w:pPr>
      <w:spacing w:after="100"/>
    </w:pPr>
  </w:style>
  <w:style w:type="numbering" w:customStyle="1" w:styleId="GMPTEReportList">
    <w:name w:val="GMPTE Report List"/>
    <w:uiPriority w:val="99"/>
    <w:rsid w:val="006302F8"/>
    <w:pPr>
      <w:numPr>
        <w:numId w:val="2"/>
      </w:numPr>
    </w:pPr>
  </w:style>
  <w:style w:type="character" w:customStyle="1" w:styleId="Heading7Char">
    <w:name w:val="Heading 7 Char"/>
    <w:basedOn w:val="DefaultParagraphFont"/>
    <w:link w:val="Heading7"/>
    <w:semiHidden/>
    <w:rsid w:val="006302F8"/>
    <w:rPr>
      <w:rFonts w:asciiTheme="majorHAnsi" w:eastAsiaTheme="majorEastAsia" w:hAnsiTheme="majorHAnsi" w:cstheme="majorBidi"/>
      <w:i/>
      <w:iCs/>
      <w:color w:val="404040" w:themeColor="text1" w:themeTint="BF"/>
    </w:rPr>
  </w:style>
  <w:style w:type="paragraph" w:customStyle="1" w:styleId="7TfGMStandardReportText">
    <w:name w:val="#7 TfGM Standard Report Text"/>
    <w:qFormat/>
    <w:rsid w:val="007F0FA3"/>
    <w:pPr>
      <w:spacing w:before="240" w:after="240"/>
      <w:ind w:left="851"/>
    </w:pPr>
    <w:rPr>
      <w:rFonts w:ascii="Calibri" w:hAnsi="Calibri"/>
      <w:sz w:val="26"/>
    </w:rPr>
  </w:style>
  <w:style w:type="paragraph" w:styleId="Subtitle">
    <w:name w:val="Subtitle"/>
    <w:basedOn w:val="Normal"/>
    <w:next w:val="Normal"/>
    <w:link w:val="SubtitleChar"/>
    <w:autoRedefine/>
    <w:uiPriority w:val="11"/>
    <w:qFormat/>
    <w:rsid w:val="007401AA"/>
    <w:pPr>
      <w:numPr>
        <w:ilvl w:val="1"/>
      </w:numPr>
    </w:pPr>
    <w:rPr>
      <w:rFonts w:asciiTheme="minorHAnsi" w:eastAsiaTheme="majorEastAsia" w:hAnsiTheme="minorHAnsi" w:cstheme="minorHAnsi"/>
      <w:b/>
      <w:noProof/>
      <w:sz w:val="36"/>
      <w:szCs w:val="26"/>
      <w:lang w:eastAsia="en-US"/>
    </w:rPr>
  </w:style>
  <w:style w:type="character" w:customStyle="1" w:styleId="SubtitleChar">
    <w:name w:val="Subtitle Char"/>
    <w:basedOn w:val="DefaultParagraphFont"/>
    <w:link w:val="Subtitle"/>
    <w:uiPriority w:val="11"/>
    <w:rsid w:val="007401AA"/>
    <w:rPr>
      <w:rFonts w:asciiTheme="minorHAnsi" w:eastAsiaTheme="majorEastAsia" w:hAnsiTheme="minorHAnsi" w:cstheme="minorHAnsi"/>
      <w:b/>
      <w:noProof/>
      <w:sz w:val="36"/>
      <w:szCs w:val="26"/>
      <w:lang w:eastAsia="en-US"/>
    </w:rPr>
  </w:style>
  <w:style w:type="paragraph" w:customStyle="1" w:styleId="Reference">
    <w:name w:val="Reference"/>
    <w:basedOn w:val="Normal"/>
    <w:autoRedefine/>
    <w:qFormat/>
    <w:rsid w:val="007401AA"/>
    <w:pPr>
      <w:spacing w:line="264" w:lineRule="auto"/>
    </w:pPr>
    <w:rPr>
      <w:rFonts w:ascii="Calibri" w:hAnsi="Calibri" w:cs="Times New Roman"/>
      <w:noProof/>
      <w:sz w:val="18"/>
      <w:lang w:eastAsia="en-US"/>
    </w:rPr>
  </w:style>
  <w:style w:type="paragraph" w:customStyle="1" w:styleId="letter">
    <w:name w:val="letter"/>
    <w:basedOn w:val="Normal"/>
    <w:rsid w:val="007401AA"/>
    <w:pPr>
      <w:spacing w:line="310" w:lineRule="exact"/>
    </w:pPr>
    <w:rPr>
      <w:rFonts w:cs="Times New Roman"/>
      <w:noProof/>
      <w:lang w:eastAsia="en-US"/>
    </w:rPr>
  </w:style>
  <w:style w:type="table" w:styleId="TableGrid">
    <w:name w:val="Table Grid"/>
    <w:basedOn w:val="TableNormal"/>
    <w:rsid w:val="00C17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5439"/>
    <w:rPr>
      <w:color w:val="0000FF"/>
      <w:u w:val="single"/>
    </w:rPr>
  </w:style>
  <w:style w:type="character" w:styleId="Emphasis">
    <w:name w:val="Emphasis"/>
    <w:basedOn w:val="DefaultParagraphFont"/>
    <w:uiPriority w:val="20"/>
    <w:qFormat/>
    <w:rsid w:val="00C75439"/>
    <w:rPr>
      <w:i/>
      <w:iCs/>
    </w:rPr>
  </w:style>
  <w:style w:type="paragraph" w:styleId="ListParagraph">
    <w:name w:val="List Paragraph"/>
    <w:basedOn w:val="Normal"/>
    <w:uiPriority w:val="34"/>
    <w:qFormat/>
    <w:rsid w:val="006750E7"/>
    <w:pPr>
      <w:ind w:left="720"/>
      <w:contextualSpacing/>
    </w:pPr>
  </w:style>
  <w:style w:type="paragraph" w:styleId="EndnoteText">
    <w:name w:val="endnote text"/>
    <w:basedOn w:val="Normal"/>
    <w:link w:val="EndnoteTextChar"/>
    <w:semiHidden/>
    <w:unhideWhenUsed/>
    <w:rsid w:val="00CE3BAB"/>
    <w:rPr>
      <w:sz w:val="20"/>
      <w:szCs w:val="20"/>
    </w:rPr>
  </w:style>
  <w:style w:type="character" w:customStyle="1" w:styleId="EndnoteTextChar">
    <w:name w:val="Endnote Text Char"/>
    <w:basedOn w:val="DefaultParagraphFont"/>
    <w:link w:val="EndnoteText"/>
    <w:semiHidden/>
    <w:rsid w:val="00CE3BAB"/>
    <w:rPr>
      <w:sz w:val="20"/>
      <w:szCs w:val="20"/>
    </w:rPr>
  </w:style>
  <w:style w:type="character" w:styleId="EndnoteReference">
    <w:name w:val="endnote reference"/>
    <w:basedOn w:val="DefaultParagraphFont"/>
    <w:semiHidden/>
    <w:unhideWhenUsed/>
    <w:rsid w:val="00CE3BAB"/>
    <w:rPr>
      <w:vertAlign w:val="superscript"/>
    </w:rPr>
  </w:style>
  <w:style w:type="paragraph" w:styleId="FootnoteText">
    <w:name w:val="footnote text"/>
    <w:basedOn w:val="Normal"/>
    <w:link w:val="FootnoteTextChar"/>
    <w:semiHidden/>
    <w:unhideWhenUsed/>
    <w:rsid w:val="0001785B"/>
    <w:rPr>
      <w:sz w:val="20"/>
      <w:szCs w:val="20"/>
    </w:rPr>
  </w:style>
  <w:style w:type="character" w:customStyle="1" w:styleId="FootnoteTextChar">
    <w:name w:val="Footnote Text Char"/>
    <w:basedOn w:val="DefaultParagraphFont"/>
    <w:link w:val="FootnoteText"/>
    <w:semiHidden/>
    <w:rsid w:val="0001785B"/>
    <w:rPr>
      <w:sz w:val="20"/>
      <w:szCs w:val="20"/>
    </w:rPr>
  </w:style>
  <w:style w:type="character" w:styleId="FootnoteReference">
    <w:name w:val="footnote reference"/>
    <w:basedOn w:val="DefaultParagraphFont"/>
    <w:semiHidden/>
    <w:unhideWhenUsed/>
    <w:rsid w:val="0001785B"/>
    <w:rPr>
      <w:vertAlign w:val="superscript"/>
    </w:rPr>
  </w:style>
  <w:style w:type="character" w:styleId="CommentReference">
    <w:name w:val="annotation reference"/>
    <w:basedOn w:val="DefaultParagraphFont"/>
    <w:semiHidden/>
    <w:unhideWhenUsed/>
    <w:rsid w:val="00F409A0"/>
    <w:rPr>
      <w:sz w:val="16"/>
      <w:szCs w:val="16"/>
    </w:rPr>
  </w:style>
  <w:style w:type="paragraph" w:styleId="CommentText">
    <w:name w:val="annotation text"/>
    <w:basedOn w:val="Normal"/>
    <w:link w:val="CommentTextChar"/>
    <w:semiHidden/>
    <w:unhideWhenUsed/>
    <w:rsid w:val="00F409A0"/>
    <w:rPr>
      <w:sz w:val="20"/>
      <w:szCs w:val="20"/>
    </w:rPr>
  </w:style>
  <w:style w:type="character" w:customStyle="1" w:styleId="CommentTextChar">
    <w:name w:val="Comment Text Char"/>
    <w:basedOn w:val="DefaultParagraphFont"/>
    <w:link w:val="CommentText"/>
    <w:semiHidden/>
    <w:rsid w:val="00F409A0"/>
    <w:rPr>
      <w:sz w:val="20"/>
      <w:szCs w:val="20"/>
    </w:rPr>
  </w:style>
  <w:style w:type="paragraph" w:styleId="CommentSubject">
    <w:name w:val="annotation subject"/>
    <w:basedOn w:val="CommentText"/>
    <w:next w:val="CommentText"/>
    <w:link w:val="CommentSubjectChar"/>
    <w:semiHidden/>
    <w:unhideWhenUsed/>
    <w:rsid w:val="00F409A0"/>
    <w:rPr>
      <w:b/>
      <w:bCs/>
    </w:rPr>
  </w:style>
  <w:style w:type="character" w:customStyle="1" w:styleId="CommentSubjectChar">
    <w:name w:val="Comment Subject Char"/>
    <w:basedOn w:val="CommentTextChar"/>
    <w:link w:val="CommentSubject"/>
    <w:semiHidden/>
    <w:rsid w:val="00F409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399">
      <w:bodyDiv w:val="1"/>
      <w:marLeft w:val="0"/>
      <w:marRight w:val="0"/>
      <w:marTop w:val="0"/>
      <w:marBottom w:val="0"/>
      <w:divBdr>
        <w:top w:val="none" w:sz="0" w:space="0" w:color="auto"/>
        <w:left w:val="none" w:sz="0" w:space="0" w:color="auto"/>
        <w:bottom w:val="none" w:sz="0" w:space="0" w:color="auto"/>
        <w:right w:val="none" w:sz="0" w:space="0" w:color="auto"/>
      </w:divBdr>
    </w:div>
    <w:div w:id="283462859">
      <w:bodyDiv w:val="1"/>
      <w:marLeft w:val="0"/>
      <w:marRight w:val="0"/>
      <w:marTop w:val="0"/>
      <w:marBottom w:val="0"/>
      <w:divBdr>
        <w:top w:val="none" w:sz="0" w:space="0" w:color="auto"/>
        <w:left w:val="none" w:sz="0" w:space="0" w:color="auto"/>
        <w:bottom w:val="none" w:sz="0" w:space="0" w:color="auto"/>
        <w:right w:val="none" w:sz="0" w:space="0" w:color="auto"/>
      </w:divBdr>
    </w:div>
    <w:div w:id="366683024">
      <w:bodyDiv w:val="1"/>
      <w:marLeft w:val="0"/>
      <w:marRight w:val="0"/>
      <w:marTop w:val="0"/>
      <w:marBottom w:val="0"/>
      <w:divBdr>
        <w:top w:val="none" w:sz="0" w:space="0" w:color="auto"/>
        <w:left w:val="none" w:sz="0" w:space="0" w:color="auto"/>
        <w:bottom w:val="none" w:sz="0" w:space="0" w:color="auto"/>
        <w:right w:val="none" w:sz="0" w:space="0" w:color="auto"/>
      </w:divBdr>
    </w:div>
    <w:div w:id="1172111952">
      <w:bodyDiv w:val="1"/>
      <w:marLeft w:val="0"/>
      <w:marRight w:val="0"/>
      <w:marTop w:val="0"/>
      <w:marBottom w:val="0"/>
      <w:divBdr>
        <w:top w:val="none" w:sz="0" w:space="0" w:color="auto"/>
        <w:left w:val="none" w:sz="0" w:space="0" w:color="auto"/>
        <w:bottom w:val="none" w:sz="0" w:space="0" w:color="auto"/>
        <w:right w:val="none" w:sz="0" w:space="0" w:color="auto"/>
      </w:divBdr>
    </w:div>
    <w:div w:id="1197936198">
      <w:bodyDiv w:val="1"/>
      <w:marLeft w:val="0"/>
      <w:marRight w:val="0"/>
      <w:marTop w:val="0"/>
      <w:marBottom w:val="0"/>
      <w:divBdr>
        <w:top w:val="none" w:sz="0" w:space="0" w:color="auto"/>
        <w:left w:val="none" w:sz="0" w:space="0" w:color="auto"/>
        <w:bottom w:val="none" w:sz="0" w:space="0" w:color="auto"/>
        <w:right w:val="none" w:sz="0" w:space="0" w:color="auto"/>
      </w:divBdr>
    </w:div>
    <w:div w:id="1348287833">
      <w:bodyDiv w:val="1"/>
      <w:marLeft w:val="0"/>
      <w:marRight w:val="0"/>
      <w:marTop w:val="0"/>
      <w:marBottom w:val="0"/>
      <w:divBdr>
        <w:top w:val="none" w:sz="0" w:space="0" w:color="auto"/>
        <w:left w:val="none" w:sz="0" w:space="0" w:color="auto"/>
        <w:bottom w:val="none" w:sz="0" w:space="0" w:color="auto"/>
        <w:right w:val="none" w:sz="0" w:space="0" w:color="auto"/>
      </w:divBdr>
    </w:div>
    <w:div w:id="1370953136">
      <w:bodyDiv w:val="1"/>
      <w:marLeft w:val="0"/>
      <w:marRight w:val="0"/>
      <w:marTop w:val="0"/>
      <w:marBottom w:val="0"/>
      <w:divBdr>
        <w:top w:val="none" w:sz="0" w:space="0" w:color="auto"/>
        <w:left w:val="none" w:sz="0" w:space="0" w:color="auto"/>
        <w:bottom w:val="none" w:sz="0" w:space="0" w:color="auto"/>
        <w:right w:val="none" w:sz="0" w:space="0" w:color="auto"/>
      </w:divBdr>
    </w:div>
    <w:div w:id="1502816491">
      <w:bodyDiv w:val="1"/>
      <w:marLeft w:val="0"/>
      <w:marRight w:val="0"/>
      <w:marTop w:val="0"/>
      <w:marBottom w:val="0"/>
      <w:divBdr>
        <w:top w:val="none" w:sz="0" w:space="0" w:color="auto"/>
        <w:left w:val="none" w:sz="0" w:space="0" w:color="auto"/>
        <w:bottom w:val="none" w:sz="0" w:space="0" w:color="auto"/>
        <w:right w:val="none" w:sz="0" w:space="0" w:color="auto"/>
      </w:divBdr>
    </w:div>
    <w:div w:id="1711833049">
      <w:bodyDiv w:val="1"/>
      <w:marLeft w:val="0"/>
      <w:marRight w:val="0"/>
      <w:marTop w:val="0"/>
      <w:marBottom w:val="0"/>
      <w:divBdr>
        <w:top w:val="none" w:sz="0" w:space="0" w:color="auto"/>
        <w:left w:val="none" w:sz="0" w:space="0" w:color="auto"/>
        <w:bottom w:val="none" w:sz="0" w:space="0" w:color="auto"/>
        <w:right w:val="none" w:sz="0" w:space="0" w:color="auto"/>
      </w:divBdr>
    </w:div>
    <w:div w:id="1743214875">
      <w:bodyDiv w:val="1"/>
      <w:marLeft w:val="0"/>
      <w:marRight w:val="0"/>
      <w:marTop w:val="0"/>
      <w:marBottom w:val="0"/>
      <w:divBdr>
        <w:top w:val="none" w:sz="0" w:space="0" w:color="auto"/>
        <w:left w:val="none" w:sz="0" w:space="0" w:color="auto"/>
        <w:bottom w:val="none" w:sz="0" w:space="0" w:color="auto"/>
        <w:right w:val="none" w:sz="0" w:space="0" w:color="auto"/>
      </w:divBdr>
    </w:div>
    <w:div w:id="1935286534">
      <w:bodyDiv w:val="1"/>
      <w:marLeft w:val="0"/>
      <w:marRight w:val="0"/>
      <w:marTop w:val="0"/>
      <w:marBottom w:val="0"/>
      <w:divBdr>
        <w:top w:val="none" w:sz="0" w:space="0" w:color="auto"/>
        <w:left w:val="none" w:sz="0" w:space="0" w:color="auto"/>
        <w:bottom w:val="none" w:sz="0" w:space="0" w:color="auto"/>
        <w:right w:val="none" w:sz="0" w:space="0" w:color="auto"/>
      </w:divBdr>
    </w:div>
    <w:div w:id="19964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hie.clare@tfgm.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lated_x0020_Area_x0020_in_x0020_Finance xmlns="7e878a90-c9e7-4866-915b-b0a231725374"/>
    <keywords xmlns="43bf7e8c-322a-46dd-b0f1-fbdd2099b13f">TfGM Blank Document Header Template</keywords>
    <Related_x0020_Area_x0020_In_x0020_Procurement xmlns="7e878a90-c9e7-4866-915b-b0a231725374"/>
    <documentpublished xmlns="43bf7e8c-322a-46dd-b0f1-fbdd2099b13f">2011-03-31T23:00:00+00:00</documentpublished>
    <spotlight xmlns="43bf7e8c-322a-46dd-b0f1-fbdd2099b13f">false</spotlight>
    <authorname xmlns="43bf7e8c-322a-46dd-b0f1-fbdd2099b13f">Craig Berry</authorname>
    <documentdescription xmlns="43bf7e8c-322a-46dd-b0f1-fbdd2099b13f" xsi:nil="true"/>
    <Relating_x0020_System xmlns="7e878a90-c9e7-4866-915b-b0a231725374"/>
  </documentManagement>
</p:properties>
</file>

<file path=customXml/item3.xml><?xml version="1.0" encoding="utf-8"?>
<ct:contentTypeSchema xmlns:ct="http://schemas.microsoft.com/office/2006/metadata/contentType" xmlns:ma="http://schemas.microsoft.com/office/2006/metadata/properties/metaAttributes" ct:_="" ma:_="" ma:contentTypeName="GMPTE Portal Document" ma:contentTypeID="0x010100D8052834FF6A485CB905608E782736D30030DEC94B59BA6946A863279D709187E2" ma:contentTypeVersion="22" ma:contentTypeDescription="" ma:contentTypeScope="" ma:versionID="b35e221c36cab99eb1409c6b432f321d">
  <xsd:schema xmlns:xsd="http://www.w3.org/2001/XMLSchema" xmlns:xs="http://www.w3.org/2001/XMLSchema" xmlns:p="http://schemas.microsoft.com/office/2006/metadata/properties" xmlns:ns2="43bf7e8c-322a-46dd-b0f1-fbdd2099b13f" xmlns:ns3="7e878a90-c9e7-4866-915b-b0a231725374" targetNamespace="http://schemas.microsoft.com/office/2006/metadata/properties" ma:root="true" ma:fieldsID="0759e9e17fd172b5437511631900456d" ns2:_="" ns3:_="">
    <xsd:import namespace="43bf7e8c-322a-46dd-b0f1-fbdd2099b13f"/>
    <xsd:import namespace="7e878a90-c9e7-4866-915b-b0a231725374"/>
    <xsd:element name="properties">
      <xsd:complexType>
        <xsd:sequence>
          <xsd:element name="documentManagement">
            <xsd:complexType>
              <xsd:all>
                <xsd:element ref="ns2:authorname" minOccurs="0"/>
                <xsd:element ref="ns2:documentdescription" minOccurs="0"/>
                <xsd:element ref="ns2:keywords" minOccurs="0"/>
                <xsd:element ref="ns2:documentpublished" minOccurs="0"/>
                <xsd:element ref="ns2:spotlight" minOccurs="0"/>
                <xsd:element ref="ns3:Relating_x0020_System" minOccurs="0"/>
                <xsd:element ref="ns3:Related_x0020_Area_x0020_in_x0020_Finance" minOccurs="0"/>
                <xsd:element ref="ns3:Related_x0020_Area_x0020_In_x0020_Procur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f7e8c-322a-46dd-b0f1-fbdd2099b13f" elementFormDefault="qualified">
    <xsd:import namespace="http://schemas.microsoft.com/office/2006/documentManagement/types"/>
    <xsd:import namespace="http://schemas.microsoft.com/office/infopath/2007/PartnerControls"/>
    <xsd:element name="authorname" ma:index="8" nillable="true" ma:displayName="Author's Name" ma:description="The name of the person primarily responsible for producing the content" ma:internalName="authorname">
      <xsd:simpleType>
        <xsd:restriction base="dms:Text"/>
      </xsd:simpleType>
    </xsd:element>
    <xsd:element name="documentdescription" ma:index="9" nillable="true" ma:displayName="Document Description" ma:description="A brief summary or synopsis for the content (this should contain information which is not already captured in other fields" ma:internalName="documentdescription">
      <xsd:simpleType>
        <xsd:restriction base="dms:Note">
          <xsd:maxLength value="255"/>
        </xsd:restriction>
      </xsd:simpleType>
    </xsd:element>
    <xsd:element name="keywords" ma:index="10" nillable="true" ma:displayName="Key Words" ma:description="Words or phrases which capture the main points of the content" ma:internalName="keywords">
      <xsd:simpleType>
        <xsd:restriction base="dms:Text"/>
      </xsd:simpleType>
    </xsd:element>
    <xsd:element name="documentpublished" ma:index="11" nillable="true" ma:displayName="Date of Publication" ma:description="The date this document was published within the organisation" ma:format="DateOnly" ma:internalName="documentpublished">
      <xsd:simpleType>
        <xsd:restriction base="dms:DateTime"/>
      </xsd:simpleType>
    </xsd:element>
    <xsd:element name="spotlight" ma:index="12" nillable="true" ma:displayName="Spotlight" ma:default="0" ma:description="Use this check box to display this item on your sites 'public' home page" ma:internalName="spotligh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878a90-c9e7-4866-915b-b0a231725374" elementFormDefault="qualified">
    <xsd:import namespace="http://schemas.microsoft.com/office/2006/documentManagement/types"/>
    <xsd:import namespace="http://schemas.microsoft.com/office/infopath/2007/PartnerControls"/>
    <xsd:element name="Relating_x0020_System" ma:index="13" nillable="true" ma:displayName="Related Systems" ma:hidden="true" ma:internalName="Relating_x0020_System" ma:readOnly="false">
      <xsd:complexType>
        <xsd:complexContent>
          <xsd:extension base="dms:MultiChoice">
            <xsd:sequence>
              <xsd:element name="Value" maxOccurs="unbounded" minOccurs="0" nillable="true">
                <xsd:simpleType>
                  <xsd:restriction base="dms:Choice">
                    <xsd:enumeration value="Intranet"/>
                    <xsd:enumeration value="MIS"/>
                    <xsd:enumeration value="Predict"/>
                    <xsd:enumeration value="SAP"/>
                  </xsd:restriction>
                </xsd:simpleType>
              </xsd:element>
            </xsd:sequence>
          </xsd:extension>
        </xsd:complexContent>
      </xsd:complexType>
    </xsd:element>
    <xsd:element name="Related_x0020_Area_x0020_in_x0020_Finance" ma:index="14" nillable="true" ma:displayName="Related Area in Finance" ma:description="Please select the related Finance area(s)" ma:hidden="true" ma:internalName="Related_x0020_Area_x0020_in_x0020_Finance" ma:readOnly="false">
      <xsd:complexType>
        <xsd:complexContent>
          <xsd:extension base="dms:MultiChoice">
            <xsd:sequence>
              <xsd:element name="Value" maxOccurs="unbounded" minOccurs="0" nillable="true">
                <xsd:simpleType>
                  <xsd:restriction base="dms:Choice">
                    <xsd:enumeration value="Financial Reporting Hierarchy"/>
                    <xsd:enumeration value="GL Code Mapping"/>
                    <xsd:enumeration value="Asset Accounting"/>
                    <xsd:enumeration value="Accounts Payable"/>
                    <xsd:enumeration value="Accounts Receivable"/>
                    <xsd:enumeration value="Banking"/>
                    <xsd:enumeration value="General Ledger"/>
                    <xsd:enumeration value="Controlling"/>
                    <xsd:enumeration value="MyBudget"/>
                    <xsd:enumeration value="Payroll Timetables"/>
                    <xsd:enumeration value="Payroll Forms"/>
                    <xsd:enumeration value="Payroll General"/>
                    <xsd:enumeration value="Pensions"/>
                    <xsd:enumeration value="Car Allowances"/>
                    <xsd:enumeration value="Payroll Induction"/>
                    <xsd:enumeration value="Salary Bands"/>
                    <xsd:enumeration value="Financial Transactions"/>
                    <xsd:enumeration value="Reporting and Decision Support"/>
                    <xsd:enumeration value="Concessionary Travel and Operator Payments"/>
                    <xsd:enumeration value="Financial Systems"/>
                    <xsd:enumeration value="Finace Departmental"/>
                    <xsd:enumeration value="Finance Forms"/>
                    <xsd:enumeration value="Finance General"/>
                    <xsd:enumeration value="Business Intelligence"/>
                  </xsd:restriction>
                </xsd:simpleType>
              </xsd:element>
            </xsd:sequence>
          </xsd:extension>
        </xsd:complexContent>
      </xsd:complexType>
    </xsd:element>
    <xsd:element name="Related_x0020_Area_x0020_In_x0020_Procurement" ma:index="15" nillable="true" ma:displayName="Related Area In Procurement" ma:hidden="true" ma:internalName="Related_x0020_Area_x0020_In_x0020_Procurement" ma:readOnly="false">
      <xsd:complexType>
        <xsd:complexContent>
          <xsd:extension base="dms:MultiChoice">
            <xsd:sequence>
              <xsd:element name="Value" maxOccurs="unbounded" minOccurs="0" nillable="true">
                <xsd:simpleType>
                  <xsd:restriction base="dms:Choice">
                    <xsd:enumeration value="General"/>
                    <xsd:enumeration value="Frameworks"/>
                    <xsd:enumeration value="Catalogues"/>
                    <xsd:enumeration value="Contracts"/>
                    <xsd:enumeration value="Legislation"/>
                    <xsd:enumeration value="Checklist"/>
                    <xsd:enumeration value="Receipting"/>
                    <xsd:enumeration value="Process"/>
                    <xsd:enumeration value="Terms &amp; Conditions"/>
                    <xsd:enumeration value="Master Data"/>
                    <xsd:enumeration value="Material Master"/>
                    <xsd:enumeration value="PCards"/>
                    <xsd:enumeration value="Shopping Carts"/>
                    <xsd:enumeration value="Central Data Maintenance"/>
                    <xsd:enumeration value="Stock Control"/>
                    <xsd:enumeration value="Appendix A"/>
                    <xsd:enumeration value="Appendix B"/>
                    <xsd:enumeration value="Appendix C"/>
                    <xsd:enumeration value="Appendix D"/>
                    <xsd:enumeration value="Appendix E"/>
                    <xsd:enumeration value="Appendix J"/>
                    <xsd:enumeration value="Appendix K"/>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AB466-983F-464F-A660-0D74A8DFF58D}">
  <ds:schemaRefs>
    <ds:schemaRef ds:uri="http://schemas.microsoft.com/sharepoint/v3/contenttype/forms"/>
  </ds:schemaRefs>
</ds:datastoreItem>
</file>

<file path=customXml/itemProps2.xml><?xml version="1.0" encoding="utf-8"?>
<ds:datastoreItem xmlns:ds="http://schemas.openxmlformats.org/officeDocument/2006/customXml" ds:itemID="{27ED1474-79F8-45A5-B538-415B5DECCD7A}">
  <ds:schemaRefs>
    <ds:schemaRef ds:uri="43bf7e8c-322a-46dd-b0f1-fbdd2099b13f"/>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www.w3.org/XML/1998/namespace"/>
    <ds:schemaRef ds:uri="http://purl.org/dc/dcmitype/"/>
    <ds:schemaRef ds:uri="http://purl.org/dc/elements/1.1/"/>
    <ds:schemaRef ds:uri="7e878a90-c9e7-4866-915b-b0a231725374"/>
  </ds:schemaRefs>
</ds:datastoreItem>
</file>

<file path=customXml/itemProps3.xml><?xml version="1.0" encoding="utf-8"?>
<ds:datastoreItem xmlns:ds="http://schemas.openxmlformats.org/officeDocument/2006/customXml" ds:itemID="{DDDB3027-B64E-4D58-ABD6-B697E158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f7e8c-322a-46dd-b0f1-fbdd2099b13f"/>
    <ds:schemaRef ds:uri="7e878a90-c9e7-4866-915b-b0a23172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7212D3-4F16-466C-A739-57175E75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876</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TfGM Blank Document Header Template</vt:lpstr>
    </vt:vector>
  </TitlesOfParts>
  <Company>TfGM</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TfGM Blank Document Header Template</dc:title>
  <dc:creator>brownc</dc:creator>
  <cp:lastModifiedBy>James Baldwin</cp:lastModifiedBy>
  <cp:revision>12</cp:revision>
  <cp:lastPrinted>2017-10-23T09:08:00Z</cp:lastPrinted>
  <dcterms:created xsi:type="dcterms:W3CDTF">2017-12-07T13:45:00Z</dcterms:created>
  <dcterms:modified xsi:type="dcterms:W3CDTF">2018-01-16T11:22:00Z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0x010100D8052834FF6A485CB905608E782736D30030DEC94B59BA6946A863279D709187E2</vt:lpwstr>
  </property>
  <property fmtid="{D5CDD505-2E9C-101B-9397-08002B2CF9AE}" pid="3" name="Order">
    <vt:r8>5200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