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FB" w:rsidRDefault="00BD4CFB" w:rsidP="00C36894">
      <w:pPr>
        <w:pStyle w:val="Default"/>
        <w:jc w:val="center"/>
        <w:rPr>
          <w:rFonts w:ascii="Calibri" w:hAnsi="Calibri"/>
          <w:b/>
          <w:bCs/>
          <w:sz w:val="36"/>
        </w:rPr>
      </w:pPr>
      <w:r w:rsidRPr="00685980">
        <w:rPr>
          <w:rFonts w:ascii="Calibri" w:hAnsi="Calibri"/>
          <w:b/>
          <w:bCs/>
          <w:sz w:val="36"/>
        </w:rPr>
        <w:t xml:space="preserve">The Benefit Cap </w:t>
      </w:r>
      <w:r>
        <w:rPr>
          <w:rFonts w:ascii="Calibri" w:hAnsi="Calibri"/>
          <w:b/>
          <w:bCs/>
          <w:sz w:val="36"/>
        </w:rPr>
        <w:t xml:space="preserve">in </w:t>
      </w:r>
      <w:smartTag w:uri="urn:schemas-microsoft-com:office:smarttags" w:element="City">
        <w:smartTag w:uri="urn:schemas-microsoft-com:office:smarttags" w:element="place">
          <w:r w:rsidRPr="00685980">
            <w:rPr>
              <w:rFonts w:ascii="Calibri" w:hAnsi="Calibri"/>
              <w:b/>
              <w:bCs/>
              <w:sz w:val="36"/>
            </w:rPr>
            <w:t>Manchester</w:t>
          </w:r>
        </w:smartTag>
      </w:smartTag>
    </w:p>
    <w:p w:rsidR="00BD4CFB" w:rsidRDefault="00BD4CFB" w:rsidP="00C36894">
      <w:pPr>
        <w:pStyle w:val="Default"/>
        <w:jc w:val="center"/>
        <w:rPr>
          <w:rFonts w:ascii="Calibri" w:hAnsi="Calibri"/>
          <w:b/>
          <w:bCs/>
          <w:sz w:val="36"/>
        </w:rPr>
      </w:pPr>
      <w:r w:rsidRPr="00685980">
        <w:rPr>
          <w:rFonts w:ascii="Calibri" w:hAnsi="Calibri"/>
          <w:b/>
          <w:bCs/>
          <w:sz w:val="36"/>
        </w:rPr>
        <w:t>Briefing Note</w:t>
      </w:r>
      <w:r>
        <w:rPr>
          <w:rFonts w:ascii="Calibri" w:hAnsi="Calibri"/>
          <w:b/>
          <w:bCs/>
          <w:sz w:val="36"/>
        </w:rPr>
        <w:t xml:space="preserve"> for Staff and Partners</w:t>
      </w:r>
    </w:p>
    <w:p w:rsidR="00BD4CFB" w:rsidRDefault="00BD4CFB" w:rsidP="00B40A15">
      <w:pPr>
        <w:pStyle w:val="Default"/>
        <w:rPr>
          <w:rFonts w:ascii="Calibri" w:hAnsi="Calibri"/>
          <w:b/>
          <w:bCs/>
          <w:sz w:val="36"/>
        </w:rPr>
      </w:pPr>
    </w:p>
    <w:p w:rsidR="00BD4CFB" w:rsidRDefault="00BD4CFB" w:rsidP="00B40A15">
      <w:pPr>
        <w:pStyle w:val="Default"/>
        <w:rPr>
          <w:rFonts w:ascii="Calibri" w:hAnsi="Calibri"/>
          <w:bCs/>
        </w:rPr>
      </w:pPr>
      <w:r w:rsidRPr="002C7084">
        <w:rPr>
          <w:rFonts w:ascii="Calibri" w:hAnsi="Calibri"/>
          <w:bCs/>
        </w:rPr>
        <w:t xml:space="preserve">This note is intended for frontline staff and managers within Council services and partner organisations, who may be supporting or likely to support </w:t>
      </w:r>
      <w:smartTag w:uri="urn:schemas-microsoft-com:office:smarttags" w:element="PlaceType">
        <w:smartTag w:uri="urn:schemas-microsoft-com:office:smarttags" w:element="place">
          <w:smartTag w:uri="urn:schemas-microsoft-com:office:smarttags" w:element="City">
            <w:r>
              <w:rPr>
                <w:rFonts w:ascii="Calibri" w:hAnsi="Calibri"/>
                <w:bCs/>
              </w:rPr>
              <w:t>Manchester</w:t>
            </w:r>
          </w:smartTag>
        </w:smartTag>
      </w:smartTag>
      <w:r>
        <w:rPr>
          <w:rFonts w:ascii="Calibri" w:hAnsi="Calibri"/>
          <w:bCs/>
        </w:rPr>
        <w:t xml:space="preserve"> </w:t>
      </w:r>
      <w:r w:rsidRPr="002C7084">
        <w:rPr>
          <w:rFonts w:ascii="Calibri" w:hAnsi="Calibri"/>
          <w:bCs/>
        </w:rPr>
        <w:t xml:space="preserve">households due to be affected by </w:t>
      </w:r>
      <w:r>
        <w:rPr>
          <w:rFonts w:ascii="Calibri" w:hAnsi="Calibri"/>
          <w:bCs/>
        </w:rPr>
        <w:t xml:space="preserve">changes to </w:t>
      </w:r>
      <w:r w:rsidRPr="002C7084">
        <w:rPr>
          <w:rFonts w:ascii="Calibri" w:hAnsi="Calibri"/>
          <w:bCs/>
        </w:rPr>
        <w:t>the Benefit Cap. This note provides background information and sources of</w:t>
      </w:r>
      <w:r>
        <w:rPr>
          <w:rFonts w:ascii="Calibri" w:hAnsi="Calibri"/>
          <w:bCs/>
        </w:rPr>
        <w:t xml:space="preserve"> support to assist staff.</w:t>
      </w:r>
    </w:p>
    <w:p w:rsidR="00BD4CFB" w:rsidRDefault="00BD4CFB" w:rsidP="00B40A15">
      <w:pPr>
        <w:pStyle w:val="Default"/>
        <w:rPr>
          <w:rFonts w:ascii="Calibri" w:hAnsi="Calibri"/>
          <w:bCs/>
        </w:rPr>
      </w:pPr>
    </w:p>
    <w:p w:rsidR="00BD4CFB" w:rsidRPr="00DC46F5" w:rsidRDefault="00BD4CFB" w:rsidP="00B40A15">
      <w:pPr>
        <w:pStyle w:val="Default"/>
        <w:rPr>
          <w:rFonts w:ascii="Calibri" w:hAnsi="Calibri"/>
          <w:b/>
          <w:bCs/>
        </w:rPr>
      </w:pPr>
      <w:r w:rsidRPr="00DC46F5">
        <w:rPr>
          <w:rFonts w:ascii="Calibri" w:hAnsi="Calibri"/>
          <w:b/>
          <w:bCs/>
        </w:rPr>
        <w:t>Background</w:t>
      </w:r>
    </w:p>
    <w:p w:rsidR="00BD4CFB" w:rsidRDefault="00BD4CFB" w:rsidP="00B40A15">
      <w:pPr>
        <w:pStyle w:val="Default"/>
        <w:rPr>
          <w:rFonts w:ascii="Calibri" w:hAnsi="Calibri"/>
        </w:rPr>
      </w:pPr>
    </w:p>
    <w:p w:rsidR="00BD4CFB" w:rsidRDefault="00BD4CFB" w:rsidP="00B40A15">
      <w:pPr>
        <w:pStyle w:val="Default"/>
        <w:rPr>
          <w:rFonts w:ascii="Calibri" w:hAnsi="Calibri"/>
        </w:rPr>
      </w:pPr>
      <w:r>
        <w:rPr>
          <w:rFonts w:ascii="Calibri" w:hAnsi="Calibri"/>
        </w:rPr>
        <w:t>The Benefit C</w:t>
      </w:r>
      <w:r w:rsidRPr="006F642D">
        <w:rPr>
          <w:rFonts w:ascii="Calibri" w:hAnsi="Calibri"/>
        </w:rPr>
        <w:t xml:space="preserve">ap </w:t>
      </w:r>
      <w:r>
        <w:rPr>
          <w:rFonts w:ascii="Calibri" w:hAnsi="Calibri"/>
        </w:rPr>
        <w:t>was</w:t>
      </w:r>
      <w:r w:rsidRPr="006F642D">
        <w:rPr>
          <w:rFonts w:ascii="Calibri" w:hAnsi="Calibri"/>
        </w:rPr>
        <w:t xml:space="preserve"> one of the Coalition Government’s welfare reform measures</w:t>
      </w:r>
      <w:r>
        <w:rPr>
          <w:rFonts w:ascii="Calibri" w:hAnsi="Calibri"/>
        </w:rPr>
        <w:t xml:space="preserve"> within the Welfare Reform Act 2012</w:t>
      </w:r>
      <w:r w:rsidRPr="006F642D">
        <w:rPr>
          <w:rFonts w:ascii="Calibri" w:hAnsi="Calibri"/>
        </w:rPr>
        <w:t xml:space="preserve">. The </w:t>
      </w:r>
      <w:r>
        <w:rPr>
          <w:rFonts w:ascii="Calibri" w:hAnsi="Calibri"/>
        </w:rPr>
        <w:t xml:space="preserve">stated </w:t>
      </w:r>
      <w:r w:rsidRPr="006F642D">
        <w:rPr>
          <w:rFonts w:ascii="Calibri" w:hAnsi="Calibri"/>
        </w:rPr>
        <w:t xml:space="preserve">aims </w:t>
      </w:r>
      <w:r>
        <w:rPr>
          <w:rFonts w:ascii="Calibri" w:hAnsi="Calibri"/>
        </w:rPr>
        <w:t xml:space="preserve">of the Benefit Cap </w:t>
      </w:r>
      <w:r w:rsidRPr="006F642D">
        <w:rPr>
          <w:rFonts w:ascii="Calibri" w:hAnsi="Calibri"/>
        </w:rPr>
        <w:t xml:space="preserve">were to: </w:t>
      </w:r>
    </w:p>
    <w:p w:rsidR="00BD4CFB" w:rsidRPr="006F642D" w:rsidRDefault="00BD4CFB" w:rsidP="00B40A15">
      <w:pPr>
        <w:pStyle w:val="Default"/>
        <w:rPr>
          <w:rFonts w:ascii="Calibri" w:hAnsi="Calibri"/>
        </w:rPr>
      </w:pPr>
      <w:r w:rsidRPr="006F642D">
        <w:rPr>
          <w:rFonts w:ascii="Calibri" w:hAnsi="Calibri"/>
        </w:rPr>
        <w:t xml:space="preserve">• increase incentives to work; </w:t>
      </w:r>
    </w:p>
    <w:p w:rsidR="00BD4CFB" w:rsidRPr="006F642D" w:rsidRDefault="00BD4CFB" w:rsidP="00B40A15">
      <w:pPr>
        <w:pStyle w:val="Default"/>
        <w:rPr>
          <w:rFonts w:ascii="Calibri" w:hAnsi="Calibri"/>
        </w:rPr>
      </w:pPr>
      <w:r w:rsidRPr="006F642D">
        <w:rPr>
          <w:rFonts w:ascii="Calibri" w:hAnsi="Calibri"/>
        </w:rPr>
        <w:t xml:space="preserve">• introduce greater fairness into the welfare system between those on out-of-work benefits and taxpayers in employment; and </w:t>
      </w:r>
    </w:p>
    <w:p w:rsidR="00BD4CFB" w:rsidRPr="006F642D" w:rsidRDefault="00BD4CFB" w:rsidP="00B40A15">
      <w:pPr>
        <w:pStyle w:val="Default"/>
        <w:rPr>
          <w:rFonts w:ascii="Calibri" w:hAnsi="Calibri"/>
        </w:rPr>
      </w:pPr>
      <w:r w:rsidRPr="006F642D">
        <w:rPr>
          <w:rFonts w:ascii="Calibri" w:hAnsi="Calibri"/>
        </w:rPr>
        <w:t>• make financial savings and incentivise behaviours that reduce lo</w:t>
      </w:r>
      <w:r>
        <w:rPr>
          <w:rFonts w:ascii="Calibri" w:hAnsi="Calibri"/>
        </w:rPr>
        <w:t>ng-term dependency on benefits</w:t>
      </w:r>
    </w:p>
    <w:p w:rsidR="00BD4CFB" w:rsidRPr="006F642D" w:rsidRDefault="00BD4CFB" w:rsidP="006F642D">
      <w:pPr>
        <w:pStyle w:val="Default"/>
        <w:rPr>
          <w:rFonts w:ascii="Calibri" w:hAnsi="Calibri"/>
        </w:rPr>
      </w:pPr>
    </w:p>
    <w:p w:rsidR="00BD4CFB" w:rsidRDefault="00BD4CFB" w:rsidP="006F642D">
      <w:pPr>
        <w:pStyle w:val="Default"/>
        <w:rPr>
          <w:rFonts w:ascii="Calibri" w:hAnsi="Calibri"/>
        </w:rPr>
      </w:pPr>
      <w:r>
        <w:rPr>
          <w:rFonts w:ascii="Calibri" w:hAnsi="Calibri"/>
        </w:rPr>
        <w:t>The first stage of the Benefit Cap was implemented in 2013 and meant that</w:t>
      </w:r>
      <w:r w:rsidRPr="006F642D">
        <w:rPr>
          <w:rFonts w:ascii="Calibri" w:hAnsi="Calibri"/>
        </w:rPr>
        <w:t xml:space="preserve"> total household benefits </w:t>
      </w:r>
      <w:r>
        <w:rPr>
          <w:rFonts w:ascii="Calibri" w:hAnsi="Calibri"/>
        </w:rPr>
        <w:t>were capped at £500 per week (</w:t>
      </w:r>
      <w:r w:rsidRPr="006F642D">
        <w:rPr>
          <w:rFonts w:ascii="Calibri" w:hAnsi="Calibri"/>
        </w:rPr>
        <w:t>£26,000 per year)</w:t>
      </w:r>
      <w:r>
        <w:rPr>
          <w:rFonts w:ascii="Calibri" w:hAnsi="Calibri"/>
        </w:rPr>
        <w:t xml:space="preserve"> for those who have a partner and / or children,</w:t>
      </w:r>
      <w:r w:rsidRPr="006F642D">
        <w:rPr>
          <w:rFonts w:ascii="Calibri" w:hAnsi="Calibri"/>
        </w:rPr>
        <w:t xml:space="preserve"> and £350 per week (£18,2</w:t>
      </w:r>
      <w:r>
        <w:rPr>
          <w:rFonts w:ascii="Calibri" w:hAnsi="Calibri"/>
        </w:rPr>
        <w:t xml:space="preserve">00 per year) for a single person with no children living with them. Around 300 </w:t>
      </w:r>
      <w:smartTag w:uri="urn:schemas-microsoft-com:office:smarttags" w:element="PlaceType">
        <w:smartTag w:uri="urn:schemas-microsoft-com:office:smarttags" w:element="place">
          <w:smartTag w:uri="urn:schemas-microsoft-com:office:smarttags" w:element="City">
            <w:r>
              <w:rPr>
                <w:rFonts w:ascii="Calibri" w:hAnsi="Calibri"/>
              </w:rPr>
              <w:t>Manchester</w:t>
            </w:r>
          </w:smartTag>
        </w:smartTag>
      </w:smartTag>
      <w:r>
        <w:rPr>
          <w:rFonts w:ascii="Calibri" w:hAnsi="Calibri"/>
        </w:rPr>
        <w:t xml:space="preserve"> households were initially affected by this measure. </w:t>
      </w:r>
    </w:p>
    <w:p w:rsidR="00BD4CFB" w:rsidRDefault="00BD4CFB" w:rsidP="006F642D">
      <w:pPr>
        <w:pStyle w:val="Default"/>
        <w:rPr>
          <w:rFonts w:ascii="Calibri" w:hAnsi="Calibri"/>
        </w:rPr>
      </w:pPr>
    </w:p>
    <w:p w:rsidR="00BD4CFB" w:rsidRDefault="00BD4CFB" w:rsidP="006F642D">
      <w:pPr>
        <w:pStyle w:val="Default"/>
        <w:rPr>
          <w:rFonts w:ascii="Calibri" w:hAnsi="Calibri"/>
        </w:rPr>
      </w:pPr>
      <w:r>
        <w:rPr>
          <w:rFonts w:ascii="Calibri" w:hAnsi="Calibri"/>
        </w:rPr>
        <w:t>The government has confirmed plans to</w:t>
      </w:r>
      <w:r w:rsidRPr="006F642D">
        <w:rPr>
          <w:rFonts w:ascii="Calibri" w:hAnsi="Calibri"/>
        </w:rPr>
        <w:t xml:space="preserve"> reduce the cap</w:t>
      </w:r>
      <w:r>
        <w:rPr>
          <w:rFonts w:ascii="Calibri" w:hAnsi="Calibri"/>
        </w:rPr>
        <w:t xml:space="preserve"> further for families/ couples to £384.62 per week (£20,000 per year) and </w:t>
      </w:r>
      <w:r w:rsidRPr="006F642D">
        <w:rPr>
          <w:rFonts w:ascii="Calibri" w:hAnsi="Calibri"/>
        </w:rPr>
        <w:t>for sing</w:t>
      </w:r>
      <w:r>
        <w:rPr>
          <w:rFonts w:ascii="Calibri" w:hAnsi="Calibri"/>
        </w:rPr>
        <w:t>le people to £257.69 per week (</w:t>
      </w:r>
      <w:r w:rsidRPr="006F642D">
        <w:rPr>
          <w:rFonts w:ascii="Calibri" w:hAnsi="Calibri"/>
        </w:rPr>
        <w:t>£13,400</w:t>
      </w:r>
      <w:r>
        <w:rPr>
          <w:rFonts w:ascii="Calibri" w:hAnsi="Calibri"/>
        </w:rPr>
        <w:t xml:space="preserve"> per year). The latest data received from the Department for Work and Pensions (DWP) shows that this is likely to affect almost 1,400 households in </w:t>
      </w:r>
      <w:smartTag w:uri="urn:schemas-microsoft-com:office:smarttags" w:element="PlaceType">
        <w:smartTag w:uri="urn:schemas-microsoft-com:office:smarttags" w:element="place">
          <w:smartTag w:uri="urn:schemas-microsoft-com:office:smarttags" w:element="City">
            <w:r>
              <w:rPr>
                <w:rFonts w:ascii="Calibri" w:hAnsi="Calibri"/>
              </w:rPr>
              <w:t>Manchester</w:t>
            </w:r>
          </w:smartTag>
        </w:smartTag>
      </w:smartTag>
      <w:r>
        <w:rPr>
          <w:rFonts w:ascii="Calibri" w:hAnsi="Calibri"/>
        </w:rPr>
        <w:t>, including around 222 households who are already capped. The data suggests that over half of those identified will see their household income drop by over £50 a week with a proportion of these experiencing far bigger reductions. Please see data at the end of this note for further analysis.</w:t>
      </w:r>
    </w:p>
    <w:p w:rsidR="00BD4CFB" w:rsidRDefault="00BD4CFB" w:rsidP="006F642D">
      <w:pPr>
        <w:pStyle w:val="Default"/>
        <w:rPr>
          <w:rFonts w:ascii="Calibri" w:hAnsi="Calibri"/>
        </w:rPr>
      </w:pPr>
    </w:p>
    <w:p w:rsidR="00BD4CFB" w:rsidRDefault="00BD4CFB" w:rsidP="00311F91">
      <w:pPr>
        <w:pStyle w:val="Default"/>
        <w:rPr>
          <w:rFonts w:ascii="Calibri" w:hAnsi="Calibri"/>
        </w:rPr>
      </w:pPr>
      <w:r>
        <w:rPr>
          <w:rFonts w:ascii="Calibri" w:hAnsi="Calibri"/>
        </w:rPr>
        <w:t xml:space="preserve">For those on Housing Benefit the Benefit Cap is implemented through a reduction in the level of their Housing Benefit, and Local Authorities are responsible for its practical implementation on instruction from the DWP.  For those on Universal Credit the cap is applied by the DWP. However the support and advice offered to UC claimants is the same. </w:t>
      </w:r>
    </w:p>
    <w:p w:rsidR="00BD4CFB" w:rsidRDefault="00BD4CFB" w:rsidP="006F642D">
      <w:pPr>
        <w:pStyle w:val="Default"/>
        <w:rPr>
          <w:rFonts w:ascii="Calibri" w:hAnsi="Calibri"/>
        </w:rPr>
      </w:pPr>
    </w:p>
    <w:p w:rsidR="00BD4CFB" w:rsidRDefault="00BD4CFB" w:rsidP="006F642D">
      <w:pPr>
        <w:pStyle w:val="Default"/>
        <w:rPr>
          <w:rFonts w:ascii="Calibri" w:hAnsi="Calibri"/>
        </w:rPr>
      </w:pPr>
      <w:r>
        <w:rPr>
          <w:rFonts w:ascii="Calibri" w:hAnsi="Calibri"/>
        </w:rPr>
        <w:t>The timescales for implementation are led by the DWP and may change. At present, for those on Housing Benefit the new cap level will be implemented for those households already affected by   the cap from 7</w:t>
      </w:r>
      <w:r w:rsidRPr="000837B1">
        <w:rPr>
          <w:rFonts w:ascii="Calibri" w:hAnsi="Calibri"/>
          <w:vertAlign w:val="superscript"/>
        </w:rPr>
        <w:t>th</w:t>
      </w:r>
      <w:r>
        <w:rPr>
          <w:rFonts w:ascii="Calibri" w:hAnsi="Calibri"/>
        </w:rPr>
        <w:t xml:space="preserve"> November 2016. The remaining households will have the cap applied to their Housing Benefit in January 2017.   For those receiving Universal Credit who are affected, the change in the cap threshold is also planned for 7</w:t>
      </w:r>
      <w:r w:rsidRPr="00A43588">
        <w:rPr>
          <w:rFonts w:ascii="Calibri" w:hAnsi="Calibri"/>
          <w:vertAlign w:val="superscript"/>
        </w:rPr>
        <w:t>th</w:t>
      </w:r>
      <w:r>
        <w:rPr>
          <w:rFonts w:ascii="Calibri" w:hAnsi="Calibri"/>
        </w:rPr>
        <w:t xml:space="preserve"> November, but as Universal Credit is paid a month in arrears the first payments affected by the new threshold will be those made from 6</w:t>
      </w:r>
      <w:r w:rsidRPr="00A43588">
        <w:rPr>
          <w:rFonts w:ascii="Calibri" w:hAnsi="Calibri"/>
          <w:vertAlign w:val="superscript"/>
        </w:rPr>
        <w:t>th</w:t>
      </w:r>
      <w:r>
        <w:rPr>
          <w:rFonts w:ascii="Calibri" w:hAnsi="Calibri"/>
        </w:rPr>
        <w:t xml:space="preserve"> December onwards.</w:t>
      </w:r>
    </w:p>
    <w:p w:rsidR="00BD4CFB" w:rsidRDefault="00BD4CFB" w:rsidP="006F642D">
      <w:pPr>
        <w:pStyle w:val="Default"/>
        <w:rPr>
          <w:rFonts w:ascii="Calibri" w:hAnsi="Calibri"/>
        </w:rPr>
      </w:pPr>
    </w:p>
    <w:p w:rsidR="00BD4CFB" w:rsidRDefault="00BD4CFB" w:rsidP="00765A6D">
      <w:pPr>
        <w:pStyle w:val="Default"/>
        <w:rPr>
          <w:rFonts w:ascii="Calibri" w:hAnsi="Calibri"/>
        </w:rPr>
      </w:pPr>
      <w:r>
        <w:rPr>
          <w:rFonts w:ascii="Calibri" w:hAnsi="Calibri"/>
        </w:rPr>
        <w:t xml:space="preserve">Whether a household is affected by the Benefit Cap depends on which benefits they are receiving. Certain benefits mean that a resident may not be affected (for example Working Tax Credit or DLA/ PIP). For more information on the Benefit Cap and who is affected, please visit </w:t>
      </w:r>
      <w:hyperlink r:id="rId7" w:history="1">
        <w:r w:rsidRPr="00765A6D">
          <w:rPr>
            <w:rStyle w:val="Hyperlink"/>
            <w:rFonts w:ascii="Calibri" w:hAnsi="Calibri" w:cs="Frutiger LT Std 45 Light"/>
          </w:rPr>
          <w:t>www.gov.uk/benefit-cap</w:t>
        </w:r>
      </w:hyperlink>
    </w:p>
    <w:p w:rsidR="00BD4CFB" w:rsidRDefault="00BD4CFB" w:rsidP="006F642D">
      <w:pPr>
        <w:pStyle w:val="Default"/>
        <w:rPr>
          <w:rFonts w:ascii="Calibri" w:hAnsi="Calibri"/>
        </w:rPr>
      </w:pPr>
    </w:p>
    <w:p w:rsidR="00BD4CFB" w:rsidRPr="00DC46F5" w:rsidRDefault="00BD4CFB" w:rsidP="006F642D">
      <w:pPr>
        <w:pStyle w:val="Default"/>
        <w:rPr>
          <w:rFonts w:ascii="Calibri" w:hAnsi="Calibri"/>
          <w:b/>
          <w:bCs/>
        </w:rPr>
      </w:pPr>
      <w:r>
        <w:rPr>
          <w:rFonts w:ascii="Calibri" w:hAnsi="Calibri"/>
          <w:b/>
          <w:bCs/>
        </w:rPr>
        <w:t>C</w:t>
      </w:r>
      <w:r w:rsidRPr="00DC46F5">
        <w:rPr>
          <w:rFonts w:ascii="Calibri" w:hAnsi="Calibri"/>
          <w:b/>
          <w:bCs/>
        </w:rPr>
        <w:t xml:space="preserve">ommunication </w:t>
      </w:r>
    </w:p>
    <w:p w:rsidR="00BD4CFB" w:rsidRPr="00DC46F5" w:rsidRDefault="00BD4CFB" w:rsidP="006F642D">
      <w:pPr>
        <w:pStyle w:val="Default"/>
        <w:rPr>
          <w:rFonts w:ascii="Calibri" w:hAnsi="Calibri"/>
          <w:b/>
          <w:bCs/>
        </w:rPr>
      </w:pPr>
    </w:p>
    <w:p w:rsidR="00BD4CFB" w:rsidRDefault="00BD4CFB" w:rsidP="006F642D">
      <w:pPr>
        <w:pStyle w:val="Default"/>
        <w:rPr>
          <w:rFonts w:ascii="Calibri" w:hAnsi="Calibri"/>
        </w:rPr>
      </w:pPr>
      <w:r>
        <w:rPr>
          <w:rFonts w:ascii="Calibri" w:hAnsi="Calibri"/>
        </w:rPr>
        <w:t xml:space="preserve">The Department for Work and Pensions, and the Council’s Revenues and Benefits service, have sent separate letters to all of those due to be affected by the cap. The letter from the Revenues and Benefits service includes information on local sources of support and advice. Data on individual households living in social housing has been sent to the Registered Housing Providers, who will be carrying out proactive engagement with their tenants due to be affected. The Council is exploring how tenants of private sector housing can be proactively engaged, within the data sharing guidelines. </w:t>
      </w:r>
    </w:p>
    <w:p w:rsidR="00BD4CFB" w:rsidRDefault="00BD4CFB" w:rsidP="006F642D">
      <w:pPr>
        <w:pStyle w:val="Default"/>
        <w:rPr>
          <w:rFonts w:ascii="Calibri" w:hAnsi="Calibri"/>
        </w:rPr>
      </w:pPr>
    </w:p>
    <w:p w:rsidR="00BD4CFB" w:rsidRDefault="00BD4CFB" w:rsidP="006F642D">
      <w:pPr>
        <w:pStyle w:val="Default"/>
        <w:rPr>
          <w:rFonts w:ascii="Calibri" w:hAnsi="Calibri" w:cs="Helv"/>
          <w:lang w:eastAsia="en-GB" w:bidi="ks-Deva"/>
        </w:rPr>
      </w:pPr>
      <w:r>
        <w:rPr>
          <w:rFonts w:ascii="Calibri" w:hAnsi="Calibri"/>
        </w:rPr>
        <w:t xml:space="preserve">If a resident is unsure whether they have received a letter or have misplaced it, and they receive Housing Benefit from Manchester City Council and need to check if they are affected, they should contact the Council’s Benefits Service. Please visit </w:t>
      </w:r>
      <w:hyperlink r:id="rId8" w:history="1">
        <w:r w:rsidRPr="00E2061B">
          <w:rPr>
            <w:rStyle w:val="Hyperlink"/>
            <w:rFonts w:ascii="Calibri" w:hAnsi="Calibri" w:cs="Frutiger LT Std 45 Light"/>
          </w:rPr>
          <w:t>www.manchester.gov.uk/benefits</w:t>
        </w:r>
      </w:hyperlink>
      <w:r>
        <w:rPr>
          <w:rFonts w:ascii="Calibri" w:hAnsi="Calibri"/>
        </w:rPr>
        <w:t xml:space="preserve"> for contact details and reception points. If the resident is in receipt of Universal Credit, the Council will not have information on whether they are affected and they will need to contact the DWP Benefit Cap helpline on </w:t>
      </w:r>
      <w:r w:rsidRPr="00383748">
        <w:rPr>
          <w:rFonts w:ascii="Calibri" w:hAnsi="Calibri" w:cs="Helv"/>
          <w:lang w:eastAsia="en-GB" w:bidi="ks-Deva"/>
        </w:rPr>
        <w:t xml:space="preserve">0345 </w:t>
      </w:r>
      <w:r>
        <w:rPr>
          <w:rFonts w:ascii="Calibri" w:hAnsi="Calibri" w:cs="Helv"/>
          <w:lang w:eastAsia="en-GB" w:bidi="ks-Deva"/>
        </w:rPr>
        <w:t>600</w:t>
      </w:r>
      <w:r w:rsidRPr="00383748">
        <w:rPr>
          <w:rFonts w:ascii="Calibri" w:hAnsi="Calibri" w:cs="Helv"/>
          <w:lang w:eastAsia="en-GB" w:bidi="ks-Deva"/>
        </w:rPr>
        <w:t xml:space="preserve"> </w:t>
      </w:r>
      <w:r>
        <w:rPr>
          <w:rFonts w:ascii="Calibri" w:hAnsi="Calibri" w:cs="Helv"/>
          <w:lang w:eastAsia="en-GB" w:bidi="ks-Deva"/>
        </w:rPr>
        <w:t xml:space="preserve">0723.  There is also a Benefit Cap checker on the government website at </w:t>
      </w:r>
      <w:hyperlink r:id="rId9" w:history="1">
        <w:r w:rsidRPr="000837B1">
          <w:rPr>
            <w:rStyle w:val="Hyperlink"/>
            <w:rFonts w:ascii="Calibri" w:hAnsi="Calibri" w:cs="Helv"/>
            <w:lang w:eastAsia="en-GB" w:bidi="ks-Deva"/>
          </w:rPr>
          <w:t>www.gov.uk/benefit-cap-calculator</w:t>
        </w:r>
      </w:hyperlink>
    </w:p>
    <w:p w:rsidR="00BD4CFB" w:rsidRDefault="00BD4CFB" w:rsidP="006F642D">
      <w:pPr>
        <w:pStyle w:val="Default"/>
        <w:rPr>
          <w:rFonts w:ascii="Calibri" w:hAnsi="Calibri"/>
        </w:rPr>
      </w:pPr>
    </w:p>
    <w:p w:rsidR="00BD4CFB" w:rsidRPr="00510A4E" w:rsidRDefault="00BD4CFB" w:rsidP="006F642D">
      <w:pPr>
        <w:pStyle w:val="Default"/>
        <w:rPr>
          <w:rFonts w:ascii="Calibri" w:hAnsi="Calibri"/>
          <w:b/>
        </w:rPr>
      </w:pPr>
      <w:r w:rsidRPr="00510A4E">
        <w:rPr>
          <w:rFonts w:ascii="Calibri" w:hAnsi="Calibri"/>
          <w:b/>
        </w:rPr>
        <w:t>Supporting those affected</w:t>
      </w:r>
    </w:p>
    <w:p w:rsidR="00BD4CFB" w:rsidRDefault="00BD4CFB" w:rsidP="006F642D">
      <w:pPr>
        <w:pStyle w:val="Default"/>
        <w:rPr>
          <w:rFonts w:ascii="Calibri" w:hAnsi="Calibri"/>
        </w:rPr>
      </w:pPr>
    </w:p>
    <w:p w:rsidR="00BD4CFB" w:rsidRDefault="00BD4CFB" w:rsidP="006F642D">
      <w:pPr>
        <w:pStyle w:val="Default"/>
        <w:rPr>
          <w:rFonts w:ascii="Calibri" w:hAnsi="Calibri"/>
        </w:rPr>
      </w:pPr>
      <w:r>
        <w:rPr>
          <w:rFonts w:ascii="Calibri" w:hAnsi="Calibri"/>
        </w:rPr>
        <w:t xml:space="preserve">Households who have received a letter are likely to request support from services they are currently engaged with or seek advice from partners. If you need to signpost or refer the resident to support, the Council’s commissioned advice service providers have set up a dedicated advice line and email address to triage residents affected by the Benefit Cap. Please see bullets below for information on this and other sources of support. </w:t>
      </w:r>
    </w:p>
    <w:p w:rsidR="00BD4CFB" w:rsidRDefault="00BD4CFB" w:rsidP="006F642D">
      <w:pPr>
        <w:pStyle w:val="Default"/>
        <w:rPr>
          <w:rFonts w:ascii="Calibri" w:hAnsi="Calibri"/>
        </w:rPr>
      </w:pPr>
    </w:p>
    <w:p w:rsidR="00BD4CFB" w:rsidRDefault="00BD4CFB" w:rsidP="006F642D">
      <w:pPr>
        <w:pStyle w:val="Default"/>
        <w:rPr>
          <w:rFonts w:ascii="Calibri" w:hAnsi="Calibri"/>
        </w:rPr>
      </w:pPr>
      <w:r>
        <w:rPr>
          <w:rFonts w:ascii="Calibri" w:hAnsi="Calibri"/>
        </w:rPr>
        <w:t xml:space="preserve">Supporting those affected into employment is the best way to avoid the cap, as the cap does not apply to people claiming Working Tax Credit. Jobcentre Plus Work Coaches will be supporting those affected, and residents can also access a range of other sources of employment, skills and training support across the city. Residents affected may also need to explore the option of cheaper housing, if available. </w:t>
      </w:r>
    </w:p>
    <w:p w:rsidR="00BD4CFB" w:rsidRDefault="00BD4CFB" w:rsidP="00735E9B">
      <w:pPr>
        <w:pStyle w:val="Default"/>
        <w:rPr>
          <w:rFonts w:ascii="Calibri" w:hAnsi="Calibri"/>
        </w:rPr>
      </w:pPr>
    </w:p>
    <w:p w:rsidR="00BD4CFB" w:rsidRDefault="00BD4CFB" w:rsidP="00735E9B">
      <w:pPr>
        <w:pStyle w:val="Default"/>
        <w:rPr>
          <w:rFonts w:ascii="Calibri" w:hAnsi="Calibri"/>
        </w:rPr>
      </w:pPr>
      <w:r>
        <w:rPr>
          <w:rFonts w:ascii="Calibri" w:hAnsi="Calibri"/>
        </w:rPr>
        <w:t xml:space="preserve">Discretionary Housing Payments (DHP) will continue to be available to residents affected by the cap where a need is identified. This applies both to people on Housing Benefit and to those whose  Universal Credit includes the housing element. Residents will need to wait until they receive notification from the Council or DWP that their benefit is being reduced before applying for DHP. Claims can be made online at </w:t>
      </w:r>
      <w:hyperlink r:id="rId10" w:history="1">
        <w:r w:rsidRPr="00E2061B">
          <w:rPr>
            <w:rStyle w:val="Hyperlink"/>
            <w:rFonts w:ascii="Calibri" w:hAnsi="Calibri" w:cs="Frutiger LT Std 45 Light"/>
          </w:rPr>
          <w:t>www.manchester.gov.uk/dhp</w:t>
        </w:r>
      </w:hyperlink>
    </w:p>
    <w:p w:rsidR="00BD4CFB" w:rsidRDefault="00BD4CFB" w:rsidP="00735E9B">
      <w:pPr>
        <w:pStyle w:val="Default"/>
        <w:rPr>
          <w:rFonts w:ascii="Calibri" w:hAnsi="Calibri"/>
        </w:rPr>
      </w:pPr>
    </w:p>
    <w:p w:rsidR="00BD4CFB" w:rsidRDefault="00BD4CFB" w:rsidP="00735E9B">
      <w:pPr>
        <w:pStyle w:val="Default"/>
        <w:rPr>
          <w:rFonts w:ascii="Calibri" w:hAnsi="Calibri"/>
        </w:rPr>
      </w:pPr>
      <w:r>
        <w:rPr>
          <w:rFonts w:ascii="Calibri" w:hAnsi="Calibri"/>
        </w:rPr>
        <w:t xml:space="preserve">The Council’s Early Help Hubs (EHH) will be provided with information on individual cases where they have an EHH case open, allowing the keyworker to proactively engage and support families affected and discuss their options. </w:t>
      </w:r>
    </w:p>
    <w:p w:rsidR="00BD4CFB" w:rsidRDefault="00BD4CFB" w:rsidP="00735E9B">
      <w:pPr>
        <w:pStyle w:val="Default"/>
        <w:rPr>
          <w:rFonts w:ascii="Calibri" w:hAnsi="Calibri"/>
        </w:rPr>
      </w:pPr>
    </w:p>
    <w:p w:rsidR="00BD4CFB" w:rsidRPr="00311F91" w:rsidRDefault="00BD4CFB" w:rsidP="005F0756">
      <w:pPr>
        <w:pStyle w:val="Default"/>
        <w:rPr>
          <w:rFonts w:ascii="Calibri" w:hAnsi="Calibri"/>
          <w:b/>
          <w:color w:val="auto"/>
        </w:rPr>
      </w:pPr>
      <w:r w:rsidRPr="00311F91">
        <w:rPr>
          <w:rFonts w:ascii="Calibri" w:hAnsi="Calibri"/>
          <w:b/>
          <w:color w:val="auto"/>
        </w:rPr>
        <w:t>Wider welfare reform</w:t>
      </w:r>
    </w:p>
    <w:p w:rsidR="00BD4CFB" w:rsidRPr="00311F91" w:rsidRDefault="00BD4CFB" w:rsidP="005F0756">
      <w:pPr>
        <w:pStyle w:val="Default"/>
        <w:rPr>
          <w:rFonts w:ascii="Calibri" w:hAnsi="Calibri"/>
          <w:color w:val="auto"/>
        </w:rPr>
      </w:pPr>
    </w:p>
    <w:p w:rsidR="00BD4CFB" w:rsidRPr="00311F91" w:rsidRDefault="00BD4CFB" w:rsidP="005F0756">
      <w:pPr>
        <w:pStyle w:val="Default"/>
        <w:rPr>
          <w:rFonts w:ascii="Calibri" w:hAnsi="Calibri"/>
          <w:color w:val="auto"/>
        </w:rPr>
      </w:pPr>
      <w:r w:rsidRPr="00311F91">
        <w:rPr>
          <w:rFonts w:ascii="Calibri" w:hAnsi="Calibri"/>
          <w:color w:val="auto"/>
        </w:rPr>
        <w:t>The Benefit Cap is part of a wider programme of welfare reform proposed by the government. The cumulative impact of these reforms could be significant for some residents, and increase the risk of them falling into rent arrears and becoming homeless. Proposed reforms include:</w:t>
      </w:r>
    </w:p>
    <w:p w:rsidR="00BD4CFB" w:rsidRPr="00311F91" w:rsidRDefault="00BD4CFB" w:rsidP="003B6086">
      <w:pPr>
        <w:numPr>
          <w:ilvl w:val="0"/>
          <w:numId w:val="6"/>
        </w:numPr>
        <w:spacing w:after="0" w:line="240" w:lineRule="auto"/>
        <w:rPr>
          <w:rFonts w:cs="Arial"/>
          <w:sz w:val="24"/>
          <w:szCs w:val="24"/>
        </w:rPr>
      </w:pPr>
      <w:r w:rsidRPr="00311F91">
        <w:rPr>
          <w:rFonts w:cs="Arial"/>
          <w:sz w:val="24"/>
          <w:szCs w:val="24"/>
        </w:rPr>
        <w:t xml:space="preserve">From April 2017 any third and subsequent children born will not be considered for Tax or Universal Credit assessment, and assessment for Housing Benefit eligibility will be restricted to two children. </w:t>
      </w:r>
    </w:p>
    <w:p w:rsidR="00BD4CFB" w:rsidRPr="00311F91" w:rsidRDefault="00BD4CFB" w:rsidP="003B6086">
      <w:pPr>
        <w:numPr>
          <w:ilvl w:val="0"/>
          <w:numId w:val="6"/>
        </w:numPr>
        <w:spacing w:after="0" w:line="240" w:lineRule="auto"/>
        <w:rPr>
          <w:rFonts w:cs="Arial"/>
          <w:sz w:val="24"/>
          <w:szCs w:val="24"/>
        </w:rPr>
      </w:pPr>
      <w:r w:rsidRPr="00311F91">
        <w:rPr>
          <w:rFonts w:cs="Arial"/>
          <w:sz w:val="24"/>
          <w:szCs w:val="24"/>
        </w:rPr>
        <w:t xml:space="preserve">Automatic entitlement to Housing Benefit (or the housing element of Universal Credit) will be withdrawn for young people aged 18-21 from April 2017. There will be exemptions for vulnerable people but this has not yet been defined.  </w:t>
      </w:r>
    </w:p>
    <w:p w:rsidR="00BD4CFB" w:rsidRPr="00311F91" w:rsidRDefault="00BD4CFB" w:rsidP="005F0756">
      <w:pPr>
        <w:numPr>
          <w:ilvl w:val="0"/>
          <w:numId w:val="6"/>
        </w:numPr>
        <w:spacing w:after="0" w:line="240" w:lineRule="auto"/>
        <w:rPr>
          <w:rFonts w:cs="Arial"/>
          <w:sz w:val="24"/>
          <w:szCs w:val="24"/>
        </w:rPr>
      </w:pPr>
      <w:r w:rsidRPr="00311F91">
        <w:rPr>
          <w:rFonts w:cs="Arial"/>
          <w:sz w:val="24"/>
          <w:szCs w:val="24"/>
        </w:rPr>
        <w:t xml:space="preserve">Housing Benefit for social housing is due to be brought in line with Local Housing Allowance rates.  Early analysis suggests that whilst LHA will cover the majority of social housing rents, there is a risk to people under 35 who are only entitled to the shared accommodation rate who would have previously been able to claim for a one-bedroom property.   </w:t>
      </w:r>
    </w:p>
    <w:p w:rsidR="00BD4CFB" w:rsidRDefault="00BD4CFB" w:rsidP="005F0756">
      <w:pPr>
        <w:numPr>
          <w:ilvl w:val="0"/>
          <w:numId w:val="6"/>
        </w:numPr>
        <w:spacing w:after="0" w:line="240" w:lineRule="auto"/>
        <w:rPr>
          <w:rFonts w:cs="Arial"/>
          <w:sz w:val="24"/>
          <w:szCs w:val="24"/>
        </w:rPr>
      </w:pPr>
      <w:r w:rsidRPr="00311F91">
        <w:rPr>
          <w:rFonts w:cs="Arial"/>
          <w:sz w:val="24"/>
          <w:szCs w:val="24"/>
        </w:rPr>
        <w:t>There are potential impacts for providers of Supported and Temporary Accommodation due to changes in welfare and funding</w:t>
      </w:r>
    </w:p>
    <w:p w:rsidR="00BD4CFB" w:rsidRPr="00311F91" w:rsidRDefault="00BD4CFB" w:rsidP="00311F91">
      <w:pPr>
        <w:spacing w:after="0" w:line="240" w:lineRule="auto"/>
        <w:rPr>
          <w:rFonts w:cs="Arial"/>
          <w:sz w:val="24"/>
          <w:szCs w:val="24"/>
        </w:rPr>
      </w:pPr>
    </w:p>
    <w:p w:rsidR="00BD4CFB" w:rsidRPr="00311F91" w:rsidRDefault="00BD4CFB" w:rsidP="00311F91">
      <w:pPr>
        <w:autoSpaceDE w:val="0"/>
        <w:autoSpaceDN w:val="0"/>
        <w:adjustRightInd w:val="0"/>
        <w:spacing w:after="0" w:line="240" w:lineRule="auto"/>
        <w:rPr>
          <w:rFonts w:cs="Helv"/>
          <w:color w:val="000000"/>
          <w:sz w:val="24"/>
          <w:szCs w:val="24"/>
          <w:lang w:eastAsia="en-GB" w:bidi="ks-Deva"/>
        </w:rPr>
      </w:pPr>
      <w:r w:rsidRPr="00311F91">
        <w:rPr>
          <w:rFonts w:cs="Helv"/>
          <w:color w:val="000000"/>
          <w:sz w:val="24"/>
          <w:szCs w:val="24"/>
          <w:lang w:eastAsia="en-GB" w:bidi="ks-Deva"/>
        </w:rPr>
        <w:t xml:space="preserve">It is important to encourage anyone who you </w:t>
      </w:r>
      <w:r>
        <w:rPr>
          <w:rFonts w:cs="Helv"/>
          <w:color w:val="000000"/>
          <w:sz w:val="24"/>
          <w:szCs w:val="24"/>
          <w:lang w:eastAsia="en-GB" w:bidi="ks-Deva"/>
        </w:rPr>
        <w:t>think might be affected by the Benefit C</w:t>
      </w:r>
      <w:r w:rsidRPr="00311F91">
        <w:rPr>
          <w:rFonts w:cs="Helv"/>
          <w:color w:val="000000"/>
          <w:sz w:val="24"/>
          <w:szCs w:val="24"/>
          <w:lang w:eastAsia="en-GB" w:bidi="ks-Deva"/>
        </w:rPr>
        <w:t xml:space="preserve">ap and other welfare reforms to get the appropriate advice and support as soon as possible to </w:t>
      </w:r>
      <w:r>
        <w:rPr>
          <w:rFonts w:cs="Helv"/>
          <w:color w:val="000000"/>
          <w:sz w:val="24"/>
          <w:szCs w:val="24"/>
          <w:lang w:eastAsia="en-GB" w:bidi="ks-Deva"/>
        </w:rPr>
        <w:t>prevent</w:t>
      </w:r>
      <w:r w:rsidRPr="00311F91">
        <w:rPr>
          <w:rFonts w:cs="Helv"/>
          <w:color w:val="000000"/>
          <w:sz w:val="24"/>
          <w:szCs w:val="24"/>
          <w:lang w:eastAsia="en-GB" w:bidi="ks-Deva"/>
        </w:rPr>
        <w:t xml:space="preserve"> them from getting into arrears. Please refer them to the </w:t>
      </w:r>
      <w:r>
        <w:rPr>
          <w:rFonts w:cs="Helv"/>
          <w:color w:val="000000"/>
          <w:sz w:val="24"/>
          <w:szCs w:val="24"/>
          <w:lang w:eastAsia="en-GB" w:bidi="ks-Deva"/>
        </w:rPr>
        <w:t xml:space="preserve">appropriate service </w:t>
      </w:r>
      <w:r w:rsidRPr="00311F91">
        <w:rPr>
          <w:rFonts w:cs="Helv"/>
          <w:color w:val="000000"/>
          <w:sz w:val="24"/>
          <w:szCs w:val="24"/>
          <w:lang w:eastAsia="en-GB" w:bidi="ks-Deva"/>
        </w:rPr>
        <w:t>and encourage them to attend any appointments</w:t>
      </w:r>
      <w:r>
        <w:rPr>
          <w:rFonts w:cs="Helv"/>
          <w:color w:val="000000"/>
          <w:sz w:val="24"/>
          <w:szCs w:val="24"/>
          <w:lang w:eastAsia="en-GB" w:bidi="ks-Deva"/>
        </w:rPr>
        <w:t>.</w:t>
      </w:r>
    </w:p>
    <w:p w:rsidR="00BD4CFB" w:rsidRPr="00311F91" w:rsidRDefault="00BD4CFB" w:rsidP="00735E9B">
      <w:pPr>
        <w:pStyle w:val="Default"/>
        <w:rPr>
          <w:rFonts w:ascii="Calibri" w:hAnsi="Calibri"/>
          <w:color w:val="auto"/>
        </w:rPr>
      </w:pPr>
    </w:p>
    <w:p w:rsidR="00BD4CFB" w:rsidRPr="00B510AA" w:rsidRDefault="00BD4CFB" w:rsidP="00735E9B">
      <w:pPr>
        <w:pStyle w:val="Default"/>
        <w:rPr>
          <w:rFonts w:ascii="Calibri" w:hAnsi="Calibri"/>
          <w:b/>
        </w:rPr>
      </w:pPr>
      <w:r w:rsidRPr="00B510AA">
        <w:rPr>
          <w:rFonts w:ascii="Calibri" w:hAnsi="Calibri"/>
          <w:b/>
        </w:rPr>
        <w:t>Sources of support</w:t>
      </w:r>
    </w:p>
    <w:p w:rsidR="00BD4CFB" w:rsidRDefault="00BD4CFB" w:rsidP="00735E9B">
      <w:pPr>
        <w:pStyle w:val="Default"/>
        <w:rPr>
          <w:rFonts w:ascii="Calibri" w:hAnsi="Calibri"/>
        </w:rPr>
      </w:pPr>
    </w:p>
    <w:p w:rsidR="00BD4CFB" w:rsidRPr="00E82002" w:rsidRDefault="00BD4CFB" w:rsidP="00735E9B">
      <w:pPr>
        <w:pStyle w:val="Default"/>
        <w:rPr>
          <w:rFonts w:ascii="Calibri" w:hAnsi="Calibri"/>
        </w:rPr>
      </w:pPr>
      <w:r>
        <w:rPr>
          <w:rFonts w:ascii="Calibri" w:hAnsi="Calibri"/>
        </w:rPr>
        <w:t>The following are sources of information and support for residents who have received a letter:</w:t>
      </w:r>
    </w:p>
    <w:p w:rsidR="00BD4CFB" w:rsidRDefault="00BD4CFB" w:rsidP="00177434">
      <w:pPr>
        <w:pStyle w:val="Default"/>
        <w:rPr>
          <w:rFonts w:ascii="Calibri" w:hAnsi="Calibri"/>
        </w:rPr>
      </w:pPr>
    </w:p>
    <w:p w:rsidR="00BD4CFB" w:rsidRDefault="00BD4CFB" w:rsidP="001A38BC">
      <w:pPr>
        <w:numPr>
          <w:ilvl w:val="0"/>
          <w:numId w:val="5"/>
        </w:numPr>
        <w:tabs>
          <w:tab w:val="clear" w:pos="-20"/>
          <w:tab w:val="num" w:pos="900"/>
        </w:tabs>
        <w:autoSpaceDE w:val="0"/>
        <w:autoSpaceDN w:val="0"/>
        <w:adjustRightInd w:val="0"/>
        <w:spacing w:after="0" w:line="240" w:lineRule="auto"/>
        <w:ind w:left="540"/>
        <w:rPr>
          <w:rFonts w:cs="Helv"/>
          <w:color w:val="000000"/>
          <w:sz w:val="24"/>
          <w:szCs w:val="24"/>
          <w:lang w:eastAsia="en-GB" w:bidi="ks-Deva"/>
        </w:rPr>
      </w:pPr>
      <w:r>
        <w:rPr>
          <w:rFonts w:cs="Helv"/>
          <w:color w:val="000000"/>
          <w:sz w:val="24"/>
          <w:szCs w:val="24"/>
          <w:lang w:eastAsia="en-GB" w:bidi="ks-Deva"/>
        </w:rPr>
        <w:t xml:space="preserve">Citizens Advice Manchester, Shelter and Cheetham Hill Advice Centre have a triage helpline for any residents affected specifically by the benefit cap: 0161 204 1744, or residents can email </w:t>
      </w:r>
      <w:hyperlink r:id="rId11" w:history="1">
        <w:r w:rsidRPr="007E106B">
          <w:rPr>
            <w:rStyle w:val="Hyperlink"/>
            <w:rFonts w:cs="Helv"/>
            <w:sz w:val="24"/>
            <w:szCs w:val="24"/>
            <w:lang w:eastAsia="en-GB" w:bidi="ks-Deva"/>
          </w:rPr>
          <w:t>advice@citizensadvicemcr.org.uk</w:t>
        </w:r>
      </w:hyperlink>
      <w:r w:rsidRPr="009F3A45">
        <w:rPr>
          <w:rFonts w:cs="Helv"/>
          <w:color w:val="000000"/>
          <w:sz w:val="24"/>
          <w:szCs w:val="24"/>
          <w:lang w:eastAsia="en-GB" w:bidi="ks-Deva"/>
        </w:rPr>
        <w:t xml:space="preserve"> </w:t>
      </w:r>
    </w:p>
    <w:p w:rsidR="00BD4CFB" w:rsidRPr="008E43CD" w:rsidRDefault="00BD4CFB" w:rsidP="008E43CD">
      <w:pPr>
        <w:numPr>
          <w:ilvl w:val="0"/>
          <w:numId w:val="5"/>
        </w:numPr>
        <w:tabs>
          <w:tab w:val="clear" w:pos="-20"/>
          <w:tab w:val="num" w:pos="900"/>
        </w:tabs>
        <w:autoSpaceDE w:val="0"/>
        <w:autoSpaceDN w:val="0"/>
        <w:adjustRightInd w:val="0"/>
        <w:spacing w:after="0" w:line="240" w:lineRule="auto"/>
        <w:ind w:left="540"/>
        <w:rPr>
          <w:rFonts w:cs="Helv"/>
          <w:color w:val="000000"/>
          <w:sz w:val="24"/>
          <w:szCs w:val="24"/>
          <w:lang w:eastAsia="en-GB" w:bidi="ks-Deva"/>
        </w:rPr>
      </w:pPr>
      <w:r>
        <w:rPr>
          <w:rFonts w:cs="Helv"/>
          <w:color w:val="000000"/>
          <w:sz w:val="24"/>
          <w:szCs w:val="24"/>
          <w:lang w:eastAsia="en-GB" w:bidi="ks-Deva"/>
        </w:rPr>
        <w:t xml:space="preserve">The DWP benefit cap helpline is </w:t>
      </w:r>
      <w:r w:rsidRPr="008E43CD">
        <w:rPr>
          <w:rFonts w:cs="Helv"/>
          <w:color w:val="000000"/>
          <w:sz w:val="24"/>
          <w:szCs w:val="24"/>
          <w:lang w:eastAsia="en-GB" w:bidi="ks-Deva"/>
        </w:rPr>
        <w:t xml:space="preserve">0345 </w:t>
      </w:r>
      <w:r>
        <w:rPr>
          <w:rFonts w:cs="Helv"/>
          <w:color w:val="000000"/>
          <w:sz w:val="24"/>
          <w:szCs w:val="24"/>
          <w:lang w:eastAsia="en-GB" w:bidi="ks-Deva"/>
        </w:rPr>
        <w:t xml:space="preserve">600 0723 for Universal Credit claimants and 0345 </w:t>
      </w:r>
      <w:r w:rsidRPr="008E43CD">
        <w:rPr>
          <w:rFonts w:cs="Helv"/>
          <w:color w:val="000000"/>
          <w:sz w:val="24"/>
          <w:szCs w:val="24"/>
          <w:lang w:eastAsia="en-GB" w:bidi="ks-Deva"/>
        </w:rPr>
        <w:t>605 7064</w:t>
      </w:r>
      <w:r>
        <w:rPr>
          <w:rFonts w:cs="Helv"/>
          <w:color w:val="000000"/>
          <w:sz w:val="24"/>
          <w:szCs w:val="24"/>
          <w:lang w:eastAsia="en-GB" w:bidi="ks-Deva"/>
        </w:rPr>
        <w:t xml:space="preserve"> for all other claimants;</w:t>
      </w:r>
      <w:r w:rsidRPr="008E43CD">
        <w:rPr>
          <w:rFonts w:cs="Helv"/>
          <w:b/>
          <w:bCs/>
          <w:color w:val="000000"/>
          <w:sz w:val="24"/>
          <w:szCs w:val="24"/>
          <w:lang w:eastAsia="en-GB" w:bidi="ks-Deva"/>
        </w:rPr>
        <w:t xml:space="preserve"> </w:t>
      </w:r>
      <w:r w:rsidRPr="008E43CD">
        <w:rPr>
          <w:rFonts w:cs="Helv"/>
          <w:color w:val="000000"/>
          <w:sz w:val="24"/>
          <w:szCs w:val="24"/>
          <w:lang w:eastAsia="en-GB" w:bidi="ks-Deva"/>
        </w:rPr>
        <w:t>or</w:t>
      </w:r>
      <w:r>
        <w:rPr>
          <w:rFonts w:cs="Helv"/>
          <w:color w:val="000000"/>
          <w:sz w:val="24"/>
          <w:szCs w:val="24"/>
          <w:lang w:eastAsia="en-GB" w:bidi="ks-Deva"/>
        </w:rPr>
        <w:t xml:space="preserve"> the resident can be advised to</w:t>
      </w:r>
      <w:r w:rsidRPr="008E43CD">
        <w:rPr>
          <w:rFonts w:cs="Helv"/>
          <w:color w:val="000000"/>
          <w:sz w:val="24"/>
          <w:szCs w:val="24"/>
          <w:lang w:eastAsia="en-GB" w:bidi="ks-Deva"/>
        </w:rPr>
        <w:t xml:space="preserve"> speak to their Jobcentre </w:t>
      </w:r>
      <w:r>
        <w:rPr>
          <w:rFonts w:cs="Helv"/>
          <w:color w:val="000000"/>
          <w:sz w:val="24"/>
          <w:szCs w:val="24"/>
          <w:lang w:eastAsia="en-GB" w:bidi="ks-Deva"/>
        </w:rPr>
        <w:t xml:space="preserve">Plus </w:t>
      </w:r>
      <w:r w:rsidRPr="008E43CD">
        <w:rPr>
          <w:rFonts w:cs="Helv"/>
          <w:color w:val="000000"/>
          <w:sz w:val="24"/>
          <w:szCs w:val="24"/>
          <w:lang w:eastAsia="en-GB" w:bidi="ks-Deva"/>
        </w:rPr>
        <w:t>Work Coach</w:t>
      </w:r>
    </w:p>
    <w:p w:rsidR="00BD4CFB" w:rsidRDefault="00BD4CFB" w:rsidP="008E43CD">
      <w:pPr>
        <w:numPr>
          <w:ilvl w:val="0"/>
          <w:numId w:val="5"/>
        </w:numPr>
        <w:tabs>
          <w:tab w:val="clear" w:pos="-20"/>
          <w:tab w:val="num" w:pos="900"/>
        </w:tabs>
        <w:autoSpaceDE w:val="0"/>
        <w:autoSpaceDN w:val="0"/>
        <w:adjustRightInd w:val="0"/>
        <w:spacing w:after="0" w:line="240" w:lineRule="auto"/>
        <w:ind w:left="540"/>
        <w:rPr>
          <w:rFonts w:cs="Helv"/>
          <w:color w:val="000000"/>
          <w:sz w:val="24"/>
          <w:szCs w:val="24"/>
          <w:lang w:eastAsia="en-GB" w:bidi="ks-Deva"/>
        </w:rPr>
      </w:pPr>
      <w:r>
        <w:rPr>
          <w:rFonts w:cs="Helv"/>
          <w:color w:val="000000"/>
          <w:sz w:val="24"/>
          <w:szCs w:val="24"/>
          <w:lang w:eastAsia="en-GB" w:bidi="ks-Deva"/>
        </w:rPr>
        <w:t>Residents living in social housing should be advised to speak to their landlord about their options</w:t>
      </w:r>
    </w:p>
    <w:p w:rsidR="00BD4CFB" w:rsidRPr="008E43CD" w:rsidRDefault="00BD4CFB" w:rsidP="009F3A45">
      <w:pPr>
        <w:numPr>
          <w:ilvl w:val="0"/>
          <w:numId w:val="5"/>
        </w:numPr>
        <w:tabs>
          <w:tab w:val="num" w:pos="900"/>
        </w:tabs>
        <w:autoSpaceDE w:val="0"/>
        <w:autoSpaceDN w:val="0"/>
        <w:adjustRightInd w:val="0"/>
        <w:spacing w:after="0" w:line="240" w:lineRule="auto"/>
        <w:ind w:left="540"/>
        <w:rPr>
          <w:rFonts w:cs="Helv"/>
          <w:color w:val="000000"/>
          <w:sz w:val="24"/>
          <w:szCs w:val="24"/>
          <w:lang w:eastAsia="en-GB" w:bidi="ks-Deva"/>
        </w:rPr>
      </w:pPr>
      <w:r w:rsidRPr="008E43CD">
        <w:rPr>
          <w:rFonts w:cs="Helv"/>
          <w:color w:val="000000"/>
          <w:sz w:val="24"/>
          <w:szCs w:val="24"/>
          <w:lang w:eastAsia="en-GB" w:bidi="ks-Deva"/>
        </w:rPr>
        <w:t xml:space="preserve">For any queries relating to moving home (e.g. finding a cheaper property both in the social and private sector) residents should be directed to the Manchester Move website </w:t>
      </w:r>
      <w:hyperlink r:id="rId12" w:history="1">
        <w:r w:rsidRPr="00E70F20">
          <w:rPr>
            <w:rStyle w:val="Hyperlink"/>
            <w:rFonts w:cs="Helv"/>
            <w:sz w:val="24"/>
            <w:szCs w:val="24"/>
            <w:lang w:eastAsia="en-GB" w:bidi="ks-Deva"/>
          </w:rPr>
          <w:t>www.manchestermove.co.uk</w:t>
        </w:r>
      </w:hyperlink>
      <w:r w:rsidRPr="008E43CD">
        <w:rPr>
          <w:rFonts w:cs="Helv"/>
          <w:color w:val="000000"/>
          <w:sz w:val="24"/>
          <w:szCs w:val="24"/>
          <w:lang w:eastAsia="en-GB" w:bidi="ks-Deva"/>
        </w:rPr>
        <w:t xml:space="preserve">. There is a phone number on the website for people to call if they are struggling to use the online system or do not have IT access and need extra support. </w:t>
      </w:r>
    </w:p>
    <w:p w:rsidR="00BD4CFB" w:rsidRDefault="00BD4CFB" w:rsidP="008E43CD">
      <w:pPr>
        <w:numPr>
          <w:ilvl w:val="0"/>
          <w:numId w:val="5"/>
        </w:numPr>
        <w:tabs>
          <w:tab w:val="clear" w:pos="-20"/>
          <w:tab w:val="num" w:pos="900"/>
        </w:tabs>
        <w:autoSpaceDE w:val="0"/>
        <w:autoSpaceDN w:val="0"/>
        <w:adjustRightInd w:val="0"/>
        <w:spacing w:after="0" w:line="240" w:lineRule="auto"/>
        <w:ind w:left="540"/>
        <w:rPr>
          <w:rFonts w:cs="Helv"/>
          <w:color w:val="000000"/>
          <w:sz w:val="24"/>
          <w:szCs w:val="24"/>
          <w:lang w:eastAsia="en-GB" w:bidi="ks-Deva"/>
        </w:rPr>
      </w:pPr>
      <w:r>
        <w:rPr>
          <w:rFonts w:cs="Helv"/>
          <w:color w:val="000000"/>
          <w:sz w:val="24"/>
          <w:szCs w:val="24"/>
          <w:lang w:eastAsia="en-GB" w:bidi="ks-Deva"/>
        </w:rPr>
        <w:t xml:space="preserve">The Council’s website has a range of information on employment and training support at </w:t>
      </w:r>
      <w:hyperlink r:id="rId13" w:history="1">
        <w:r w:rsidRPr="00A3082D">
          <w:rPr>
            <w:rStyle w:val="Hyperlink"/>
            <w:rFonts w:cs="Helv"/>
            <w:sz w:val="24"/>
            <w:szCs w:val="24"/>
            <w:lang w:eastAsia="en-GB" w:bidi="ks-Deva"/>
          </w:rPr>
          <w:t>www.manchester.gov.uk/work</w:t>
        </w:r>
      </w:hyperlink>
    </w:p>
    <w:p w:rsidR="00BD4CFB" w:rsidRDefault="00BD4CFB" w:rsidP="008E43CD">
      <w:pPr>
        <w:numPr>
          <w:ilvl w:val="0"/>
          <w:numId w:val="5"/>
        </w:numPr>
        <w:tabs>
          <w:tab w:val="clear" w:pos="-20"/>
          <w:tab w:val="num" w:pos="900"/>
        </w:tabs>
        <w:autoSpaceDE w:val="0"/>
        <w:autoSpaceDN w:val="0"/>
        <w:adjustRightInd w:val="0"/>
        <w:spacing w:after="0" w:line="240" w:lineRule="auto"/>
        <w:ind w:left="540"/>
        <w:rPr>
          <w:rFonts w:cs="Helv"/>
          <w:color w:val="000000"/>
          <w:sz w:val="24"/>
          <w:szCs w:val="24"/>
          <w:lang w:eastAsia="en-GB" w:bidi="ks-Deva"/>
        </w:rPr>
      </w:pPr>
      <w:r>
        <w:rPr>
          <w:rFonts w:cs="Helv"/>
          <w:color w:val="000000"/>
          <w:sz w:val="24"/>
          <w:szCs w:val="24"/>
          <w:lang w:eastAsia="en-GB" w:bidi="ks-Deva"/>
        </w:rPr>
        <w:t xml:space="preserve">A comprehensive directory of support services in Manchester is available at </w:t>
      </w:r>
      <w:hyperlink r:id="rId14" w:history="1">
        <w:r w:rsidRPr="00A3082D">
          <w:rPr>
            <w:rStyle w:val="Hyperlink"/>
            <w:rFonts w:cs="Helv"/>
            <w:sz w:val="24"/>
            <w:szCs w:val="24"/>
            <w:lang w:eastAsia="en-GB" w:bidi="ks-Deva"/>
          </w:rPr>
          <w:t>www.manchester.gov.uk/helpandsupportmanchester</w:t>
        </w:r>
      </w:hyperlink>
    </w:p>
    <w:p w:rsidR="00BD4CFB" w:rsidRDefault="00BD4CFB" w:rsidP="0034053B">
      <w:pPr>
        <w:autoSpaceDE w:val="0"/>
        <w:autoSpaceDN w:val="0"/>
        <w:adjustRightInd w:val="0"/>
        <w:spacing w:after="0" w:line="240" w:lineRule="auto"/>
        <w:ind w:left="540"/>
        <w:rPr>
          <w:rFonts w:cs="Helv"/>
          <w:color w:val="000000"/>
          <w:sz w:val="24"/>
          <w:szCs w:val="24"/>
          <w:lang w:eastAsia="en-GB" w:bidi="ks-Deva"/>
        </w:rPr>
      </w:pPr>
    </w:p>
    <w:p w:rsidR="00BD4CFB" w:rsidRDefault="00BD4CFB" w:rsidP="008734C9">
      <w:pPr>
        <w:pStyle w:val="Default"/>
        <w:rPr>
          <w:rFonts w:ascii="Calibri" w:hAnsi="Calibri"/>
          <w:b/>
          <w:bCs/>
          <w:sz w:val="32"/>
          <w:szCs w:val="32"/>
        </w:rPr>
      </w:pPr>
    </w:p>
    <w:p w:rsidR="00BD4CFB" w:rsidRDefault="00BD4CFB" w:rsidP="008734C9">
      <w:pPr>
        <w:pStyle w:val="Default"/>
        <w:rPr>
          <w:rFonts w:ascii="Calibri" w:hAnsi="Calibri"/>
          <w:b/>
          <w:bCs/>
          <w:sz w:val="32"/>
          <w:szCs w:val="32"/>
        </w:rPr>
      </w:pPr>
    </w:p>
    <w:p w:rsidR="00BD4CFB" w:rsidRDefault="00BD4CFB" w:rsidP="008734C9">
      <w:pPr>
        <w:pStyle w:val="Default"/>
        <w:rPr>
          <w:rFonts w:ascii="Calibri" w:hAnsi="Calibri"/>
          <w:b/>
          <w:bCs/>
          <w:sz w:val="32"/>
          <w:szCs w:val="32"/>
        </w:rPr>
      </w:pPr>
    </w:p>
    <w:p w:rsidR="00BD4CFB" w:rsidRDefault="00BD4CFB" w:rsidP="008734C9">
      <w:pPr>
        <w:pStyle w:val="Default"/>
        <w:rPr>
          <w:rFonts w:ascii="Calibri" w:hAnsi="Calibri"/>
          <w:b/>
          <w:bCs/>
          <w:sz w:val="32"/>
          <w:szCs w:val="32"/>
        </w:rPr>
      </w:pPr>
      <w:bookmarkStart w:id="0" w:name="_GoBack"/>
      <w:bookmarkEnd w:id="0"/>
    </w:p>
    <w:p w:rsidR="00BD4CFB" w:rsidRDefault="00BD4CFB" w:rsidP="008734C9">
      <w:pPr>
        <w:pStyle w:val="Default"/>
        <w:rPr>
          <w:rFonts w:ascii="Calibri" w:hAnsi="Calibri"/>
          <w:b/>
          <w:bCs/>
          <w:sz w:val="32"/>
          <w:szCs w:val="32"/>
        </w:rPr>
      </w:pPr>
    </w:p>
    <w:p w:rsidR="00BD4CFB" w:rsidRDefault="00BD4CFB" w:rsidP="008734C9">
      <w:pPr>
        <w:pStyle w:val="Default"/>
        <w:rPr>
          <w:rFonts w:ascii="Calibri" w:hAnsi="Calibri"/>
          <w:b/>
          <w:bCs/>
          <w:sz w:val="32"/>
          <w:szCs w:val="32"/>
        </w:rPr>
      </w:pPr>
    </w:p>
    <w:p w:rsidR="00BD4CFB" w:rsidRDefault="00BD4CFB" w:rsidP="008734C9">
      <w:pPr>
        <w:pStyle w:val="Default"/>
        <w:rPr>
          <w:rFonts w:ascii="Calibri" w:hAnsi="Calibri"/>
          <w:b/>
          <w:bCs/>
          <w:sz w:val="32"/>
          <w:szCs w:val="32"/>
        </w:rPr>
      </w:pPr>
    </w:p>
    <w:p w:rsidR="00BD4CFB" w:rsidRPr="00E85BE4" w:rsidRDefault="00BD4CFB" w:rsidP="008734C9">
      <w:pPr>
        <w:pStyle w:val="Default"/>
        <w:rPr>
          <w:rFonts w:ascii="Calibri" w:hAnsi="Calibri"/>
          <w:b/>
          <w:bCs/>
          <w:sz w:val="32"/>
          <w:szCs w:val="32"/>
        </w:rPr>
      </w:pPr>
      <w:r w:rsidRPr="00E85BE4">
        <w:rPr>
          <w:rFonts w:ascii="Calibri" w:hAnsi="Calibri"/>
          <w:b/>
          <w:bCs/>
          <w:sz w:val="32"/>
          <w:szCs w:val="32"/>
        </w:rPr>
        <w:t>Benefit Cap Data Analysis</w:t>
      </w:r>
    </w:p>
    <w:p w:rsidR="00BD4CFB" w:rsidRPr="008734C9" w:rsidRDefault="00BD4CFB" w:rsidP="008734C9">
      <w:pPr>
        <w:pStyle w:val="Default"/>
        <w:rPr>
          <w:rFonts w:ascii="Calibri" w:hAnsi="Calibri"/>
          <w:sz w:val="36"/>
        </w:rPr>
      </w:pPr>
    </w:p>
    <w:tbl>
      <w:tblPr>
        <w:tblW w:w="4300" w:type="dxa"/>
        <w:tblInd w:w="113" w:type="dxa"/>
        <w:tblLook w:val="00A0"/>
      </w:tblPr>
      <w:tblGrid>
        <w:gridCol w:w="2360"/>
        <w:gridCol w:w="1940"/>
      </w:tblGrid>
      <w:tr w:rsidR="00BD4CFB" w:rsidRPr="00D54C90" w:rsidTr="00D54C90">
        <w:trPr>
          <w:trHeight w:val="720"/>
        </w:trPr>
        <w:tc>
          <w:tcPr>
            <w:tcW w:w="4300" w:type="dxa"/>
            <w:gridSpan w:val="2"/>
            <w:tcBorders>
              <w:top w:val="single" w:sz="4" w:space="0" w:color="auto"/>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b/>
                <w:bCs/>
                <w:sz w:val="20"/>
                <w:szCs w:val="20"/>
                <w:lang w:eastAsia="en-GB"/>
              </w:rPr>
            </w:pPr>
            <w:r w:rsidRPr="00D54C90">
              <w:rPr>
                <w:rFonts w:ascii="Arial" w:hAnsi="Arial" w:cs="Arial"/>
                <w:b/>
                <w:bCs/>
                <w:sz w:val="20"/>
                <w:szCs w:val="20"/>
                <w:lang w:eastAsia="en-GB"/>
              </w:rPr>
              <w:t>Benefit Cap - Ward Split (Housing Benefit claimants - September 2016)</w:t>
            </w:r>
          </w:p>
        </w:tc>
      </w:tr>
      <w:tr w:rsidR="00BD4CFB" w:rsidRPr="00D54C90" w:rsidTr="00D54C90">
        <w:trPr>
          <w:trHeight w:val="510"/>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ANCOATS AND CLAYTON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51</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ARDWICK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39</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BAGULEY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30</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BRADFORD</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56</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BROOKLANDS</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27</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BURNAGE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46</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CHARLESTOWN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51</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CHEETHAM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85</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CHORLTON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CHORLTON PARK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19</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CRUMPSALL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54</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DIDSBURY EAST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5</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DIDSBURY WEST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FALLOWFIELD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36</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GORTON NORTH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86</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GORTON SOUTH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77</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HARPURHEY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124</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HIGHER BLACKLEY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51</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HULME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20</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LEVENSHULME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24</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LONGSIGHT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42</w:t>
            </w:r>
          </w:p>
        </w:tc>
      </w:tr>
      <w:tr w:rsidR="00BD4CFB" w:rsidRPr="00D54C90" w:rsidTr="00D54C90">
        <w:trPr>
          <w:trHeight w:val="510"/>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MILES PLATTING AND NEWTON HEATH</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60</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MOSS SIDE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120</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MOSTON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48</w:t>
            </w:r>
          </w:p>
        </w:tc>
      </w:tr>
      <w:tr w:rsidR="00BD4CFB" w:rsidRPr="00D54C90" w:rsidTr="00D54C90">
        <w:trPr>
          <w:trHeight w:val="510"/>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NEW PROPERTY - UNKNOWN</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NORTHENDEN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30</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OLD MOAT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25</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RUSHOLME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33</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SHARSTON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46</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WHALLEY RANGE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25</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WITHINGTON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13</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xml:space="preserve">WOODHOUSE PARK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sz w:val="20"/>
                <w:szCs w:val="20"/>
                <w:lang w:eastAsia="en-GB"/>
              </w:rPr>
            </w:pPr>
            <w:r w:rsidRPr="00D54C90">
              <w:rPr>
                <w:rFonts w:ascii="Arial" w:hAnsi="Arial" w:cs="Arial"/>
                <w:sz w:val="20"/>
                <w:szCs w:val="20"/>
                <w:lang w:eastAsia="en-GB"/>
              </w:rPr>
              <w:t>35</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b/>
                <w:bCs/>
                <w:sz w:val="20"/>
                <w:szCs w:val="20"/>
                <w:lang w:eastAsia="en-GB"/>
              </w:rPr>
            </w:pPr>
            <w:r w:rsidRPr="00D54C90">
              <w:rPr>
                <w:rFonts w:ascii="Arial" w:hAnsi="Arial" w:cs="Arial"/>
                <w:b/>
                <w:bCs/>
                <w:sz w:val="20"/>
                <w:szCs w:val="20"/>
                <w:lang w:eastAsia="en-GB"/>
              </w:rPr>
              <w:t>TOTAL</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jc w:val="right"/>
              <w:rPr>
                <w:rFonts w:ascii="Arial" w:hAnsi="Arial" w:cs="Arial"/>
                <w:b/>
                <w:bCs/>
                <w:sz w:val="20"/>
                <w:szCs w:val="20"/>
                <w:lang w:eastAsia="en-GB"/>
              </w:rPr>
            </w:pPr>
            <w:r>
              <w:rPr>
                <w:rFonts w:ascii="Arial" w:hAnsi="Arial" w:cs="Arial"/>
                <w:b/>
                <w:bCs/>
                <w:sz w:val="20"/>
                <w:szCs w:val="20"/>
                <w:lang w:eastAsia="en-GB"/>
              </w:rPr>
              <w:t>1365</w:t>
            </w:r>
          </w:p>
        </w:tc>
      </w:tr>
      <w:tr w:rsidR="00BD4CFB" w:rsidRPr="00D54C90" w:rsidTr="00D54C90">
        <w:trPr>
          <w:trHeight w:val="255"/>
        </w:trPr>
        <w:tc>
          <w:tcPr>
            <w:tcW w:w="2360" w:type="dxa"/>
            <w:tcBorders>
              <w:top w:val="nil"/>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w:t>
            </w:r>
          </w:p>
        </w:tc>
        <w:tc>
          <w:tcPr>
            <w:tcW w:w="1940" w:type="dxa"/>
            <w:tcBorders>
              <w:top w:val="nil"/>
              <w:left w:val="nil"/>
              <w:bottom w:val="single" w:sz="4" w:space="0" w:color="auto"/>
              <w:right w:val="single" w:sz="4" w:space="0" w:color="auto"/>
            </w:tcBorders>
            <w:noWrap/>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w:t>
            </w:r>
          </w:p>
        </w:tc>
      </w:tr>
      <w:tr w:rsidR="00BD4CFB" w:rsidRPr="00D54C90" w:rsidTr="00D54C90">
        <w:trPr>
          <w:trHeight w:val="255"/>
        </w:trPr>
        <w:tc>
          <w:tcPr>
            <w:tcW w:w="4300" w:type="dxa"/>
            <w:gridSpan w:val="2"/>
            <w:tcBorders>
              <w:top w:val="single" w:sz="4" w:space="0" w:color="auto"/>
              <w:left w:val="single" w:sz="4" w:space="0" w:color="auto"/>
              <w:bottom w:val="single" w:sz="4" w:space="0" w:color="auto"/>
              <w:right w:val="single" w:sz="4" w:space="0" w:color="auto"/>
            </w:tcBorders>
            <w:vAlign w:val="bottom"/>
          </w:tcPr>
          <w:p w:rsidR="00BD4CFB" w:rsidRPr="00D54C90" w:rsidRDefault="00BD4CFB" w:rsidP="00D54C90">
            <w:pPr>
              <w:spacing w:after="0" w:line="240" w:lineRule="auto"/>
              <w:rPr>
                <w:rFonts w:ascii="Arial" w:hAnsi="Arial" w:cs="Arial"/>
                <w:sz w:val="20"/>
                <w:szCs w:val="20"/>
                <w:lang w:eastAsia="en-GB"/>
              </w:rPr>
            </w:pPr>
            <w:r w:rsidRPr="00D54C90">
              <w:rPr>
                <w:rFonts w:ascii="Arial" w:hAnsi="Arial" w:cs="Arial"/>
                <w:sz w:val="20"/>
                <w:szCs w:val="20"/>
                <w:lang w:eastAsia="en-GB"/>
              </w:rPr>
              <w:t>* denotes fewer than 5 for data protection purposes</w:t>
            </w:r>
          </w:p>
        </w:tc>
      </w:tr>
    </w:tbl>
    <w:p w:rsidR="00BD4CFB" w:rsidRDefault="00BD4CFB" w:rsidP="000E4A3B">
      <w:pPr>
        <w:spacing w:after="0" w:line="240" w:lineRule="auto"/>
        <w:rPr>
          <w:rFonts w:cs="Arial"/>
          <w:sz w:val="24"/>
          <w:szCs w:val="24"/>
        </w:rPr>
      </w:pPr>
    </w:p>
    <w:p w:rsidR="00BD4CFB" w:rsidRDefault="00BD4CFB" w:rsidP="000E4A3B">
      <w:pPr>
        <w:spacing w:after="0" w:line="240" w:lineRule="auto"/>
        <w:rPr>
          <w:rFonts w:cs="Arial"/>
          <w:sz w:val="24"/>
          <w:szCs w:val="24"/>
        </w:rPr>
      </w:pPr>
    </w:p>
    <w:p w:rsidR="00BD4CFB" w:rsidRDefault="00BD4CFB" w:rsidP="000E4A3B">
      <w:pPr>
        <w:spacing w:after="0" w:line="240" w:lineRule="auto"/>
        <w:rPr>
          <w:rFonts w:cs="Arial"/>
          <w:sz w:val="24"/>
          <w:szCs w:val="24"/>
        </w:rPr>
      </w:pPr>
    </w:p>
    <w:p w:rsidR="00BD4CFB" w:rsidRDefault="00BD4CFB" w:rsidP="000E4A3B">
      <w:pPr>
        <w:spacing w:after="0" w:line="240" w:lineRule="auto"/>
        <w:rPr>
          <w:rFonts w:cs="Arial"/>
          <w:sz w:val="24"/>
          <w:szCs w:val="24"/>
        </w:rPr>
      </w:pPr>
    </w:p>
    <w:p w:rsidR="00BD4CFB" w:rsidRDefault="00BD4CFB" w:rsidP="000E4A3B">
      <w:pPr>
        <w:spacing w:after="0" w:line="240" w:lineRule="auto"/>
        <w:rPr>
          <w:rFonts w:cs="Arial"/>
          <w:sz w:val="24"/>
          <w:szCs w:val="24"/>
        </w:rPr>
      </w:pPr>
    </w:p>
    <w:p w:rsidR="00BD4CFB" w:rsidRDefault="00BD4CFB" w:rsidP="000E4A3B">
      <w:pPr>
        <w:spacing w:after="0" w:line="240" w:lineRule="auto"/>
        <w:rPr>
          <w:rFonts w:cs="Arial"/>
          <w:sz w:val="24"/>
          <w:szCs w:val="24"/>
        </w:rPr>
      </w:pPr>
    </w:p>
    <w:p w:rsidR="00BD4CFB" w:rsidRDefault="00BD4CFB" w:rsidP="000E4A3B">
      <w:pPr>
        <w:spacing w:after="0" w:line="240" w:lineRule="auto"/>
        <w:rPr>
          <w:rFonts w:cs="Arial"/>
          <w:sz w:val="24"/>
          <w:szCs w:val="24"/>
        </w:rPr>
      </w:pPr>
    </w:p>
    <w:p w:rsidR="00BD4CFB" w:rsidRDefault="00BD4CFB" w:rsidP="000E4A3B">
      <w:pPr>
        <w:spacing w:after="0" w:line="240" w:lineRule="auto"/>
        <w:rPr>
          <w:rFonts w:cs="Arial"/>
          <w:sz w:val="24"/>
          <w:szCs w:val="24"/>
        </w:rPr>
      </w:pPr>
    </w:p>
    <w:tbl>
      <w:tblPr>
        <w:tblW w:w="4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0"/>
        <w:gridCol w:w="1535"/>
      </w:tblGrid>
      <w:tr w:rsidR="00BD4CFB" w:rsidRPr="008734C9" w:rsidTr="00297E39">
        <w:trPr>
          <w:trHeight w:val="530"/>
        </w:trPr>
        <w:tc>
          <w:tcPr>
            <w:tcW w:w="4335" w:type="dxa"/>
            <w:gridSpan w:val="2"/>
            <w:noWrap/>
            <w:vAlign w:val="bottom"/>
          </w:tcPr>
          <w:p w:rsidR="00BD4CFB" w:rsidRPr="008734C9" w:rsidRDefault="00BD4CFB" w:rsidP="008734C9">
            <w:pPr>
              <w:spacing w:after="0" w:line="240" w:lineRule="auto"/>
              <w:rPr>
                <w:b/>
                <w:bCs/>
                <w:sz w:val="24"/>
                <w:szCs w:val="24"/>
                <w:lang w:eastAsia="en-GB" w:bidi="ks-Deva"/>
              </w:rPr>
            </w:pPr>
            <w:r w:rsidRPr="008734C9">
              <w:rPr>
                <w:b/>
                <w:bCs/>
                <w:sz w:val="24"/>
                <w:szCs w:val="24"/>
                <w:lang w:eastAsia="en-GB" w:bidi="ks-Deva"/>
              </w:rPr>
              <w:t>Tenure split</w:t>
            </w:r>
          </w:p>
        </w:tc>
      </w:tr>
      <w:tr w:rsidR="00BD4CFB" w:rsidRPr="008734C9" w:rsidTr="00297E39">
        <w:trPr>
          <w:trHeight w:val="523"/>
        </w:trPr>
        <w:tc>
          <w:tcPr>
            <w:tcW w:w="2800" w:type="dxa"/>
            <w:noWrap/>
            <w:vAlign w:val="bottom"/>
          </w:tcPr>
          <w:p w:rsidR="00BD4CFB" w:rsidRPr="008734C9" w:rsidRDefault="00BD4CFB" w:rsidP="008734C9">
            <w:pPr>
              <w:spacing w:after="0" w:line="240" w:lineRule="auto"/>
              <w:rPr>
                <w:b/>
                <w:bCs/>
                <w:sz w:val="24"/>
                <w:szCs w:val="24"/>
                <w:lang w:eastAsia="en-GB" w:bidi="ks-Deva"/>
              </w:rPr>
            </w:pPr>
          </w:p>
        </w:tc>
        <w:tc>
          <w:tcPr>
            <w:tcW w:w="1535" w:type="dxa"/>
            <w:vAlign w:val="bottom"/>
          </w:tcPr>
          <w:p w:rsidR="00BD4CFB" w:rsidRPr="008734C9" w:rsidRDefault="00BD4CFB" w:rsidP="008734C9">
            <w:pPr>
              <w:spacing w:after="0" w:line="240" w:lineRule="auto"/>
              <w:rPr>
                <w:b/>
                <w:bCs/>
                <w:sz w:val="24"/>
                <w:szCs w:val="24"/>
                <w:lang w:eastAsia="en-GB" w:bidi="ks-Deva"/>
              </w:rPr>
            </w:pPr>
            <w:r w:rsidRPr="008734C9">
              <w:rPr>
                <w:b/>
                <w:bCs/>
                <w:sz w:val="24"/>
                <w:szCs w:val="24"/>
                <w:lang w:eastAsia="en-GB" w:bidi="ks-Deva"/>
              </w:rPr>
              <w:t xml:space="preserve">Number </w:t>
            </w:r>
            <w:r>
              <w:rPr>
                <w:b/>
                <w:bCs/>
                <w:sz w:val="24"/>
                <w:szCs w:val="24"/>
                <w:lang w:eastAsia="en-GB" w:bidi="ks-Deva"/>
              </w:rPr>
              <w:t xml:space="preserve">of </w:t>
            </w:r>
            <w:r w:rsidRPr="008734C9">
              <w:rPr>
                <w:b/>
                <w:bCs/>
                <w:sz w:val="24"/>
                <w:szCs w:val="24"/>
                <w:lang w:eastAsia="en-GB" w:bidi="ks-Deva"/>
              </w:rPr>
              <w:t>cases</w:t>
            </w:r>
          </w:p>
        </w:tc>
      </w:tr>
      <w:tr w:rsidR="00BD4CFB" w:rsidRPr="008734C9" w:rsidTr="00297E39">
        <w:trPr>
          <w:trHeight w:val="255"/>
        </w:trPr>
        <w:tc>
          <w:tcPr>
            <w:tcW w:w="2800" w:type="dxa"/>
            <w:noWrap/>
            <w:vAlign w:val="bottom"/>
          </w:tcPr>
          <w:p w:rsidR="00BD4CFB" w:rsidRPr="008734C9" w:rsidRDefault="00BD4CFB" w:rsidP="008734C9">
            <w:pPr>
              <w:spacing w:after="0" w:line="240" w:lineRule="auto"/>
              <w:rPr>
                <w:sz w:val="24"/>
                <w:szCs w:val="24"/>
                <w:lang w:eastAsia="en-GB" w:bidi="ks-Deva"/>
              </w:rPr>
            </w:pPr>
            <w:r w:rsidRPr="008734C9">
              <w:rPr>
                <w:sz w:val="24"/>
                <w:szCs w:val="24"/>
                <w:lang w:eastAsia="en-GB" w:bidi="ks-Deva"/>
              </w:rPr>
              <w:t>Social Sector</w:t>
            </w:r>
          </w:p>
        </w:tc>
        <w:tc>
          <w:tcPr>
            <w:tcW w:w="1535" w:type="dxa"/>
            <w:noWrap/>
            <w:vAlign w:val="bottom"/>
          </w:tcPr>
          <w:p w:rsidR="00BD4CFB" w:rsidRPr="008734C9" w:rsidRDefault="00BD4CFB" w:rsidP="008734C9">
            <w:pPr>
              <w:spacing w:after="0" w:line="240" w:lineRule="auto"/>
              <w:jc w:val="right"/>
              <w:rPr>
                <w:sz w:val="24"/>
                <w:szCs w:val="24"/>
                <w:lang w:eastAsia="en-GB" w:bidi="ks-Deva"/>
              </w:rPr>
            </w:pPr>
            <w:r>
              <w:rPr>
                <w:sz w:val="24"/>
                <w:szCs w:val="24"/>
                <w:lang w:eastAsia="en-GB" w:bidi="ks-Deva"/>
              </w:rPr>
              <w:t>705</w:t>
            </w:r>
          </w:p>
        </w:tc>
      </w:tr>
      <w:tr w:rsidR="00BD4CFB" w:rsidRPr="008734C9" w:rsidTr="00297E39">
        <w:trPr>
          <w:trHeight w:val="255"/>
        </w:trPr>
        <w:tc>
          <w:tcPr>
            <w:tcW w:w="2800" w:type="dxa"/>
            <w:noWrap/>
            <w:vAlign w:val="bottom"/>
          </w:tcPr>
          <w:p w:rsidR="00BD4CFB" w:rsidRPr="008734C9" w:rsidRDefault="00BD4CFB" w:rsidP="008734C9">
            <w:pPr>
              <w:spacing w:after="0" w:line="240" w:lineRule="auto"/>
              <w:rPr>
                <w:sz w:val="24"/>
                <w:szCs w:val="24"/>
                <w:lang w:eastAsia="en-GB" w:bidi="ks-Deva"/>
              </w:rPr>
            </w:pPr>
            <w:r w:rsidRPr="008734C9">
              <w:rPr>
                <w:sz w:val="24"/>
                <w:szCs w:val="24"/>
                <w:lang w:eastAsia="en-GB" w:bidi="ks-Deva"/>
              </w:rPr>
              <w:t>Private Sector</w:t>
            </w:r>
          </w:p>
        </w:tc>
        <w:tc>
          <w:tcPr>
            <w:tcW w:w="1535" w:type="dxa"/>
            <w:noWrap/>
            <w:vAlign w:val="bottom"/>
          </w:tcPr>
          <w:p w:rsidR="00BD4CFB" w:rsidRPr="008734C9" w:rsidRDefault="00BD4CFB" w:rsidP="008734C9">
            <w:pPr>
              <w:spacing w:after="0" w:line="240" w:lineRule="auto"/>
              <w:jc w:val="right"/>
              <w:rPr>
                <w:sz w:val="24"/>
                <w:szCs w:val="24"/>
                <w:lang w:eastAsia="en-GB" w:bidi="ks-Deva"/>
              </w:rPr>
            </w:pPr>
            <w:r>
              <w:rPr>
                <w:sz w:val="24"/>
                <w:szCs w:val="24"/>
                <w:lang w:eastAsia="en-GB" w:bidi="ks-Deva"/>
              </w:rPr>
              <w:t>660</w:t>
            </w:r>
          </w:p>
        </w:tc>
      </w:tr>
      <w:tr w:rsidR="00BD4CFB" w:rsidRPr="008734C9" w:rsidTr="00297E39">
        <w:trPr>
          <w:trHeight w:val="255"/>
        </w:trPr>
        <w:tc>
          <w:tcPr>
            <w:tcW w:w="2800" w:type="dxa"/>
            <w:noWrap/>
            <w:vAlign w:val="bottom"/>
          </w:tcPr>
          <w:p w:rsidR="00BD4CFB" w:rsidRPr="008734C9" w:rsidRDefault="00BD4CFB" w:rsidP="008734C9">
            <w:pPr>
              <w:spacing w:after="0" w:line="240" w:lineRule="auto"/>
              <w:rPr>
                <w:b/>
                <w:bCs/>
                <w:sz w:val="24"/>
                <w:szCs w:val="24"/>
                <w:lang w:eastAsia="en-GB" w:bidi="ks-Deva"/>
              </w:rPr>
            </w:pPr>
            <w:r w:rsidRPr="008734C9">
              <w:rPr>
                <w:b/>
                <w:bCs/>
                <w:sz w:val="24"/>
                <w:szCs w:val="24"/>
                <w:lang w:eastAsia="en-GB" w:bidi="ks-Deva"/>
              </w:rPr>
              <w:t>Total cases</w:t>
            </w:r>
          </w:p>
        </w:tc>
        <w:tc>
          <w:tcPr>
            <w:tcW w:w="1535" w:type="dxa"/>
            <w:noWrap/>
            <w:vAlign w:val="bottom"/>
          </w:tcPr>
          <w:p w:rsidR="00BD4CFB" w:rsidRPr="008734C9" w:rsidRDefault="00BD4CFB" w:rsidP="008734C9">
            <w:pPr>
              <w:spacing w:after="0" w:line="240" w:lineRule="auto"/>
              <w:jc w:val="right"/>
              <w:rPr>
                <w:b/>
                <w:bCs/>
                <w:sz w:val="24"/>
                <w:szCs w:val="24"/>
                <w:lang w:eastAsia="en-GB" w:bidi="ks-Deva"/>
              </w:rPr>
            </w:pPr>
            <w:r>
              <w:rPr>
                <w:b/>
                <w:bCs/>
                <w:sz w:val="24"/>
                <w:szCs w:val="24"/>
                <w:lang w:eastAsia="en-GB" w:bidi="ks-Deva"/>
              </w:rPr>
              <w:t>1365</w:t>
            </w:r>
          </w:p>
        </w:tc>
      </w:tr>
    </w:tbl>
    <w:p w:rsidR="00BD4CFB" w:rsidRDefault="00BD4CFB" w:rsidP="000E4A3B">
      <w:pPr>
        <w:spacing w:after="0" w:line="240" w:lineRule="auto"/>
        <w:rPr>
          <w:rFonts w:cs="Arial"/>
          <w:sz w:val="24"/>
          <w:szCs w:val="24"/>
        </w:rPr>
      </w:pPr>
    </w:p>
    <w:p w:rsidR="00BD4CFB" w:rsidRDefault="00BD4CFB" w:rsidP="000E4A3B">
      <w:pPr>
        <w:spacing w:after="0" w:line="240" w:lineRule="auto"/>
        <w:rPr>
          <w:rFonts w:cs="Arial"/>
          <w:sz w:val="24"/>
          <w:szCs w:val="24"/>
        </w:rPr>
      </w:pPr>
    </w:p>
    <w:tbl>
      <w:tblPr>
        <w:tblW w:w="4695" w:type="dxa"/>
        <w:tblInd w:w="93" w:type="dxa"/>
        <w:tblLayout w:type="fixed"/>
        <w:tblLook w:val="0000"/>
      </w:tblPr>
      <w:tblGrid>
        <w:gridCol w:w="2126"/>
        <w:gridCol w:w="2569"/>
      </w:tblGrid>
      <w:tr w:rsidR="00BD4CFB" w:rsidRPr="008734C9" w:rsidTr="00297E39">
        <w:trPr>
          <w:trHeight w:val="401"/>
        </w:trPr>
        <w:tc>
          <w:tcPr>
            <w:tcW w:w="4695" w:type="dxa"/>
            <w:gridSpan w:val="2"/>
            <w:tcBorders>
              <w:top w:val="single" w:sz="4" w:space="0" w:color="auto"/>
              <w:left w:val="single" w:sz="4" w:space="0" w:color="auto"/>
              <w:bottom w:val="single" w:sz="4" w:space="0" w:color="auto"/>
              <w:right w:val="single" w:sz="4" w:space="0" w:color="auto"/>
            </w:tcBorders>
            <w:noWrap/>
            <w:vAlign w:val="bottom"/>
          </w:tcPr>
          <w:p w:rsidR="00BD4CFB" w:rsidRPr="008734C9" w:rsidRDefault="00BD4CFB" w:rsidP="008734C9">
            <w:pPr>
              <w:spacing w:after="0" w:line="240" w:lineRule="auto"/>
              <w:rPr>
                <w:b/>
                <w:bCs/>
                <w:sz w:val="24"/>
                <w:szCs w:val="24"/>
                <w:lang w:eastAsia="en-GB" w:bidi="ks-Deva"/>
              </w:rPr>
            </w:pPr>
            <w:r w:rsidRPr="008734C9">
              <w:rPr>
                <w:b/>
                <w:bCs/>
                <w:sz w:val="24"/>
                <w:szCs w:val="24"/>
                <w:lang w:eastAsia="en-GB" w:bidi="ks-Deva"/>
              </w:rPr>
              <w:t>Reduction in weekly Housing Benefit</w:t>
            </w:r>
          </w:p>
          <w:p w:rsidR="00BD4CFB" w:rsidRPr="008734C9" w:rsidRDefault="00BD4CFB" w:rsidP="008734C9">
            <w:pPr>
              <w:spacing w:after="0" w:line="240" w:lineRule="auto"/>
              <w:rPr>
                <w:sz w:val="24"/>
                <w:szCs w:val="24"/>
                <w:lang w:eastAsia="en-GB" w:bidi="ks-Deva"/>
              </w:rPr>
            </w:pPr>
            <w:r w:rsidRPr="008734C9">
              <w:rPr>
                <w:sz w:val="24"/>
                <w:szCs w:val="24"/>
                <w:lang w:eastAsia="en-GB" w:bidi="ks-Deva"/>
              </w:rPr>
              <w:t> </w:t>
            </w:r>
          </w:p>
        </w:tc>
      </w:tr>
      <w:tr w:rsidR="00BD4CFB" w:rsidRPr="008734C9" w:rsidTr="00297E39">
        <w:trPr>
          <w:trHeight w:val="510"/>
        </w:trPr>
        <w:tc>
          <w:tcPr>
            <w:tcW w:w="2126" w:type="dxa"/>
            <w:tcBorders>
              <w:top w:val="nil"/>
              <w:left w:val="single" w:sz="4" w:space="0" w:color="auto"/>
              <w:bottom w:val="single" w:sz="4" w:space="0" w:color="auto"/>
              <w:right w:val="single" w:sz="4" w:space="0" w:color="auto"/>
            </w:tcBorders>
            <w:noWrap/>
            <w:vAlign w:val="bottom"/>
          </w:tcPr>
          <w:p w:rsidR="00BD4CFB" w:rsidRPr="008734C9" w:rsidRDefault="00BD4CFB" w:rsidP="008734C9">
            <w:pPr>
              <w:spacing w:after="0" w:line="240" w:lineRule="auto"/>
              <w:rPr>
                <w:b/>
                <w:bCs/>
                <w:sz w:val="24"/>
                <w:szCs w:val="24"/>
                <w:lang w:eastAsia="en-GB" w:bidi="ks-Deva"/>
              </w:rPr>
            </w:pPr>
            <w:r w:rsidRPr="008734C9">
              <w:rPr>
                <w:b/>
                <w:bCs/>
                <w:sz w:val="24"/>
                <w:szCs w:val="24"/>
                <w:lang w:eastAsia="en-GB" w:bidi="ks-Deva"/>
              </w:rPr>
              <w:t>Amount</w:t>
            </w:r>
          </w:p>
        </w:tc>
        <w:tc>
          <w:tcPr>
            <w:tcW w:w="2569" w:type="dxa"/>
            <w:tcBorders>
              <w:top w:val="nil"/>
              <w:left w:val="nil"/>
              <w:bottom w:val="single" w:sz="4" w:space="0" w:color="auto"/>
              <w:right w:val="single" w:sz="4" w:space="0" w:color="auto"/>
            </w:tcBorders>
            <w:vAlign w:val="bottom"/>
          </w:tcPr>
          <w:p w:rsidR="00BD4CFB" w:rsidRPr="008734C9" w:rsidRDefault="00BD4CFB" w:rsidP="008734C9">
            <w:pPr>
              <w:spacing w:after="0" w:line="240" w:lineRule="auto"/>
              <w:rPr>
                <w:b/>
                <w:bCs/>
                <w:sz w:val="24"/>
                <w:szCs w:val="24"/>
                <w:lang w:eastAsia="en-GB" w:bidi="ks-Deva"/>
              </w:rPr>
            </w:pPr>
            <w:r w:rsidRPr="008734C9">
              <w:rPr>
                <w:b/>
                <w:bCs/>
                <w:sz w:val="24"/>
                <w:szCs w:val="24"/>
                <w:lang w:eastAsia="en-GB" w:bidi="ks-Deva"/>
              </w:rPr>
              <w:t>Number of cases</w:t>
            </w:r>
          </w:p>
        </w:tc>
      </w:tr>
      <w:tr w:rsidR="00BD4CFB" w:rsidRPr="008734C9" w:rsidTr="00297E39">
        <w:trPr>
          <w:trHeight w:val="720"/>
        </w:trPr>
        <w:tc>
          <w:tcPr>
            <w:tcW w:w="2126" w:type="dxa"/>
            <w:tcBorders>
              <w:top w:val="nil"/>
              <w:left w:val="single" w:sz="4" w:space="0" w:color="auto"/>
              <w:bottom w:val="single" w:sz="4" w:space="0" w:color="auto"/>
              <w:right w:val="single" w:sz="4" w:space="0" w:color="auto"/>
            </w:tcBorders>
            <w:noWrap/>
            <w:vAlign w:val="bottom"/>
          </w:tcPr>
          <w:p w:rsidR="00BD4CFB" w:rsidRPr="008734C9" w:rsidRDefault="00BD4CFB" w:rsidP="008734C9">
            <w:pPr>
              <w:spacing w:after="0" w:line="240" w:lineRule="auto"/>
              <w:rPr>
                <w:sz w:val="24"/>
                <w:szCs w:val="24"/>
                <w:lang w:eastAsia="en-GB" w:bidi="ks-Deva"/>
              </w:rPr>
            </w:pPr>
            <w:r w:rsidRPr="008734C9">
              <w:rPr>
                <w:sz w:val="24"/>
                <w:szCs w:val="24"/>
                <w:lang w:eastAsia="en-GB" w:bidi="ks-Deva"/>
              </w:rPr>
              <w:t>No change</w:t>
            </w:r>
          </w:p>
        </w:tc>
        <w:tc>
          <w:tcPr>
            <w:tcW w:w="2569" w:type="dxa"/>
            <w:tcBorders>
              <w:top w:val="nil"/>
              <w:left w:val="nil"/>
              <w:bottom w:val="single" w:sz="4" w:space="0" w:color="auto"/>
              <w:right w:val="single" w:sz="4" w:space="0" w:color="auto"/>
            </w:tcBorders>
            <w:noWrap/>
            <w:vAlign w:val="bottom"/>
          </w:tcPr>
          <w:p w:rsidR="00BD4CFB" w:rsidRPr="008734C9" w:rsidRDefault="00BD4CFB" w:rsidP="008734C9">
            <w:pPr>
              <w:spacing w:after="0" w:line="240" w:lineRule="auto"/>
              <w:jc w:val="right"/>
              <w:rPr>
                <w:sz w:val="24"/>
                <w:szCs w:val="24"/>
                <w:lang w:eastAsia="en-GB" w:bidi="ks-Deva"/>
              </w:rPr>
            </w:pPr>
            <w:r>
              <w:rPr>
                <w:sz w:val="24"/>
                <w:szCs w:val="24"/>
                <w:lang w:eastAsia="en-GB" w:bidi="ks-Deva"/>
              </w:rPr>
              <w:t xml:space="preserve">22 </w:t>
            </w:r>
            <w:r w:rsidRPr="008734C9">
              <w:rPr>
                <w:sz w:val="24"/>
                <w:szCs w:val="24"/>
                <w:lang w:eastAsia="en-GB" w:bidi="ks-Deva"/>
              </w:rPr>
              <w:t>(cases already reduced to the £0.50 minimum award of HB)</w:t>
            </w:r>
          </w:p>
        </w:tc>
      </w:tr>
      <w:tr w:rsidR="00BD4CFB" w:rsidRPr="008734C9" w:rsidTr="00297E39">
        <w:trPr>
          <w:trHeight w:val="255"/>
        </w:trPr>
        <w:tc>
          <w:tcPr>
            <w:tcW w:w="2126" w:type="dxa"/>
            <w:tcBorders>
              <w:top w:val="nil"/>
              <w:left w:val="single" w:sz="4" w:space="0" w:color="auto"/>
              <w:bottom w:val="single" w:sz="4" w:space="0" w:color="auto"/>
              <w:right w:val="single" w:sz="4" w:space="0" w:color="auto"/>
            </w:tcBorders>
            <w:noWrap/>
            <w:vAlign w:val="bottom"/>
          </w:tcPr>
          <w:p w:rsidR="00BD4CFB" w:rsidRPr="008734C9" w:rsidRDefault="00BD4CFB" w:rsidP="008734C9">
            <w:pPr>
              <w:spacing w:after="0" w:line="240" w:lineRule="auto"/>
              <w:rPr>
                <w:sz w:val="24"/>
                <w:szCs w:val="24"/>
                <w:lang w:eastAsia="en-GB" w:bidi="ks-Deva"/>
              </w:rPr>
            </w:pPr>
            <w:r w:rsidRPr="008734C9">
              <w:rPr>
                <w:sz w:val="24"/>
                <w:szCs w:val="24"/>
                <w:lang w:eastAsia="en-GB" w:bidi="ks-Deva"/>
              </w:rPr>
              <w:t>Up to £10</w:t>
            </w:r>
          </w:p>
        </w:tc>
        <w:tc>
          <w:tcPr>
            <w:tcW w:w="2569" w:type="dxa"/>
            <w:tcBorders>
              <w:top w:val="nil"/>
              <w:left w:val="nil"/>
              <w:bottom w:val="single" w:sz="4" w:space="0" w:color="auto"/>
              <w:right w:val="single" w:sz="4" w:space="0" w:color="auto"/>
            </w:tcBorders>
            <w:noWrap/>
            <w:vAlign w:val="bottom"/>
          </w:tcPr>
          <w:p w:rsidR="00BD4CFB" w:rsidRPr="008734C9" w:rsidRDefault="00BD4CFB" w:rsidP="008734C9">
            <w:pPr>
              <w:spacing w:after="0" w:line="240" w:lineRule="auto"/>
              <w:jc w:val="right"/>
              <w:rPr>
                <w:sz w:val="24"/>
                <w:szCs w:val="24"/>
                <w:lang w:eastAsia="en-GB" w:bidi="ks-Deva"/>
              </w:rPr>
            </w:pPr>
            <w:r>
              <w:rPr>
                <w:sz w:val="24"/>
                <w:szCs w:val="24"/>
                <w:lang w:eastAsia="en-GB" w:bidi="ks-Deva"/>
              </w:rPr>
              <w:t>10</w:t>
            </w:r>
            <w:r w:rsidRPr="008734C9">
              <w:rPr>
                <w:sz w:val="24"/>
                <w:szCs w:val="24"/>
                <w:lang w:eastAsia="en-GB" w:bidi="ks-Deva"/>
              </w:rPr>
              <w:t>9</w:t>
            </w:r>
          </w:p>
        </w:tc>
      </w:tr>
      <w:tr w:rsidR="00BD4CFB" w:rsidRPr="008734C9" w:rsidTr="00297E39">
        <w:trPr>
          <w:trHeight w:val="255"/>
        </w:trPr>
        <w:tc>
          <w:tcPr>
            <w:tcW w:w="2126" w:type="dxa"/>
            <w:tcBorders>
              <w:top w:val="nil"/>
              <w:left w:val="single" w:sz="4" w:space="0" w:color="auto"/>
              <w:bottom w:val="single" w:sz="4" w:space="0" w:color="auto"/>
              <w:right w:val="single" w:sz="4" w:space="0" w:color="auto"/>
            </w:tcBorders>
            <w:noWrap/>
            <w:vAlign w:val="bottom"/>
          </w:tcPr>
          <w:p w:rsidR="00BD4CFB" w:rsidRPr="008734C9" w:rsidRDefault="00BD4CFB" w:rsidP="008734C9">
            <w:pPr>
              <w:spacing w:after="0" w:line="240" w:lineRule="auto"/>
              <w:rPr>
                <w:sz w:val="24"/>
                <w:szCs w:val="24"/>
                <w:lang w:eastAsia="en-GB" w:bidi="ks-Deva"/>
              </w:rPr>
            </w:pPr>
            <w:r w:rsidRPr="008734C9">
              <w:rPr>
                <w:sz w:val="24"/>
                <w:szCs w:val="24"/>
                <w:lang w:eastAsia="en-GB" w:bidi="ks-Deva"/>
              </w:rPr>
              <w:t>£10 to £25</w:t>
            </w:r>
          </w:p>
        </w:tc>
        <w:tc>
          <w:tcPr>
            <w:tcW w:w="2569" w:type="dxa"/>
            <w:tcBorders>
              <w:top w:val="nil"/>
              <w:left w:val="nil"/>
              <w:bottom w:val="single" w:sz="4" w:space="0" w:color="auto"/>
              <w:right w:val="single" w:sz="4" w:space="0" w:color="auto"/>
            </w:tcBorders>
            <w:noWrap/>
            <w:vAlign w:val="bottom"/>
          </w:tcPr>
          <w:p w:rsidR="00BD4CFB" w:rsidRPr="008734C9" w:rsidRDefault="00BD4CFB" w:rsidP="008734C9">
            <w:pPr>
              <w:spacing w:after="0" w:line="240" w:lineRule="auto"/>
              <w:jc w:val="right"/>
              <w:rPr>
                <w:sz w:val="24"/>
                <w:szCs w:val="24"/>
                <w:lang w:eastAsia="en-GB" w:bidi="ks-Deva"/>
              </w:rPr>
            </w:pPr>
            <w:r>
              <w:rPr>
                <w:sz w:val="24"/>
                <w:szCs w:val="24"/>
                <w:lang w:eastAsia="en-GB" w:bidi="ks-Deva"/>
              </w:rPr>
              <w:t>146</w:t>
            </w:r>
          </w:p>
        </w:tc>
      </w:tr>
      <w:tr w:rsidR="00BD4CFB" w:rsidRPr="008734C9" w:rsidTr="00297E39">
        <w:trPr>
          <w:trHeight w:val="255"/>
        </w:trPr>
        <w:tc>
          <w:tcPr>
            <w:tcW w:w="2126" w:type="dxa"/>
            <w:tcBorders>
              <w:top w:val="nil"/>
              <w:left w:val="single" w:sz="4" w:space="0" w:color="auto"/>
              <w:bottom w:val="single" w:sz="4" w:space="0" w:color="auto"/>
              <w:right w:val="single" w:sz="4" w:space="0" w:color="auto"/>
            </w:tcBorders>
            <w:noWrap/>
            <w:vAlign w:val="bottom"/>
          </w:tcPr>
          <w:p w:rsidR="00BD4CFB" w:rsidRPr="008734C9" w:rsidRDefault="00BD4CFB" w:rsidP="008734C9">
            <w:pPr>
              <w:spacing w:after="0" w:line="240" w:lineRule="auto"/>
              <w:rPr>
                <w:sz w:val="24"/>
                <w:szCs w:val="24"/>
                <w:lang w:eastAsia="en-GB" w:bidi="ks-Deva"/>
              </w:rPr>
            </w:pPr>
            <w:r w:rsidRPr="008734C9">
              <w:rPr>
                <w:sz w:val="24"/>
                <w:szCs w:val="24"/>
                <w:lang w:eastAsia="en-GB" w:bidi="ks-Deva"/>
              </w:rPr>
              <w:t>£25 to £50</w:t>
            </w:r>
          </w:p>
        </w:tc>
        <w:tc>
          <w:tcPr>
            <w:tcW w:w="2569" w:type="dxa"/>
            <w:tcBorders>
              <w:top w:val="nil"/>
              <w:left w:val="nil"/>
              <w:bottom w:val="single" w:sz="4" w:space="0" w:color="auto"/>
              <w:right w:val="single" w:sz="4" w:space="0" w:color="auto"/>
            </w:tcBorders>
            <w:noWrap/>
            <w:vAlign w:val="bottom"/>
          </w:tcPr>
          <w:p w:rsidR="00BD4CFB" w:rsidRPr="008734C9" w:rsidRDefault="00BD4CFB" w:rsidP="008734C9">
            <w:pPr>
              <w:spacing w:after="0" w:line="240" w:lineRule="auto"/>
              <w:jc w:val="right"/>
              <w:rPr>
                <w:sz w:val="24"/>
                <w:szCs w:val="24"/>
                <w:lang w:eastAsia="en-GB" w:bidi="ks-Deva"/>
              </w:rPr>
            </w:pPr>
            <w:r>
              <w:rPr>
                <w:sz w:val="24"/>
                <w:szCs w:val="24"/>
                <w:lang w:eastAsia="en-GB" w:bidi="ks-Deva"/>
              </w:rPr>
              <w:t>356</w:t>
            </w:r>
          </w:p>
        </w:tc>
      </w:tr>
      <w:tr w:rsidR="00BD4CFB" w:rsidRPr="008734C9" w:rsidTr="00297E39">
        <w:trPr>
          <w:trHeight w:val="255"/>
        </w:trPr>
        <w:tc>
          <w:tcPr>
            <w:tcW w:w="2126" w:type="dxa"/>
            <w:tcBorders>
              <w:top w:val="nil"/>
              <w:left w:val="single" w:sz="4" w:space="0" w:color="auto"/>
              <w:bottom w:val="single" w:sz="4" w:space="0" w:color="auto"/>
              <w:right w:val="single" w:sz="4" w:space="0" w:color="auto"/>
            </w:tcBorders>
            <w:noWrap/>
            <w:vAlign w:val="bottom"/>
          </w:tcPr>
          <w:p w:rsidR="00BD4CFB" w:rsidRPr="008734C9" w:rsidRDefault="00BD4CFB" w:rsidP="008734C9">
            <w:pPr>
              <w:spacing w:after="0" w:line="240" w:lineRule="auto"/>
              <w:rPr>
                <w:sz w:val="24"/>
                <w:szCs w:val="24"/>
                <w:lang w:eastAsia="en-GB" w:bidi="ks-Deva"/>
              </w:rPr>
            </w:pPr>
            <w:r w:rsidRPr="008734C9">
              <w:rPr>
                <w:sz w:val="24"/>
                <w:szCs w:val="24"/>
                <w:lang w:eastAsia="en-GB" w:bidi="ks-Deva"/>
              </w:rPr>
              <w:t>£50 to £75</w:t>
            </w:r>
          </w:p>
        </w:tc>
        <w:tc>
          <w:tcPr>
            <w:tcW w:w="2569" w:type="dxa"/>
            <w:tcBorders>
              <w:top w:val="nil"/>
              <w:left w:val="nil"/>
              <w:bottom w:val="single" w:sz="4" w:space="0" w:color="auto"/>
              <w:right w:val="single" w:sz="4" w:space="0" w:color="auto"/>
            </w:tcBorders>
            <w:noWrap/>
            <w:vAlign w:val="bottom"/>
          </w:tcPr>
          <w:p w:rsidR="00BD4CFB" w:rsidRPr="008734C9" w:rsidRDefault="00BD4CFB" w:rsidP="008734C9">
            <w:pPr>
              <w:spacing w:after="0" w:line="240" w:lineRule="auto"/>
              <w:jc w:val="right"/>
              <w:rPr>
                <w:sz w:val="24"/>
                <w:szCs w:val="24"/>
                <w:lang w:eastAsia="en-GB" w:bidi="ks-Deva"/>
              </w:rPr>
            </w:pPr>
            <w:r>
              <w:rPr>
                <w:sz w:val="24"/>
                <w:szCs w:val="24"/>
                <w:lang w:eastAsia="en-GB" w:bidi="ks-Deva"/>
              </w:rPr>
              <w:t>236</w:t>
            </w:r>
          </w:p>
        </w:tc>
      </w:tr>
      <w:tr w:rsidR="00BD4CFB" w:rsidRPr="008734C9" w:rsidTr="00297E39">
        <w:trPr>
          <w:trHeight w:val="255"/>
        </w:trPr>
        <w:tc>
          <w:tcPr>
            <w:tcW w:w="2126" w:type="dxa"/>
            <w:tcBorders>
              <w:top w:val="nil"/>
              <w:left w:val="single" w:sz="4" w:space="0" w:color="auto"/>
              <w:bottom w:val="single" w:sz="4" w:space="0" w:color="auto"/>
              <w:right w:val="single" w:sz="4" w:space="0" w:color="auto"/>
            </w:tcBorders>
            <w:noWrap/>
            <w:vAlign w:val="bottom"/>
          </w:tcPr>
          <w:p w:rsidR="00BD4CFB" w:rsidRPr="008734C9" w:rsidRDefault="00BD4CFB" w:rsidP="008734C9">
            <w:pPr>
              <w:spacing w:after="0" w:line="240" w:lineRule="auto"/>
              <w:rPr>
                <w:sz w:val="24"/>
                <w:szCs w:val="24"/>
                <w:lang w:eastAsia="en-GB" w:bidi="ks-Deva"/>
              </w:rPr>
            </w:pPr>
            <w:r w:rsidRPr="008734C9">
              <w:rPr>
                <w:sz w:val="24"/>
                <w:szCs w:val="24"/>
                <w:lang w:eastAsia="en-GB" w:bidi="ks-Deva"/>
              </w:rPr>
              <w:t>£75 to £100</w:t>
            </w:r>
          </w:p>
        </w:tc>
        <w:tc>
          <w:tcPr>
            <w:tcW w:w="2569" w:type="dxa"/>
            <w:tcBorders>
              <w:top w:val="nil"/>
              <w:left w:val="nil"/>
              <w:bottom w:val="single" w:sz="4" w:space="0" w:color="auto"/>
              <w:right w:val="single" w:sz="4" w:space="0" w:color="auto"/>
            </w:tcBorders>
            <w:noWrap/>
            <w:vAlign w:val="bottom"/>
          </w:tcPr>
          <w:p w:rsidR="00BD4CFB" w:rsidRPr="008734C9" w:rsidRDefault="00BD4CFB" w:rsidP="008734C9">
            <w:pPr>
              <w:spacing w:after="0" w:line="240" w:lineRule="auto"/>
              <w:jc w:val="right"/>
              <w:rPr>
                <w:sz w:val="24"/>
                <w:szCs w:val="24"/>
                <w:lang w:eastAsia="en-GB" w:bidi="ks-Deva"/>
              </w:rPr>
            </w:pPr>
            <w:r>
              <w:rPr>
                <w:sz w:val="24"/>
                <w:szCs w:val="24"/>
                <w:lang w:eastAsia="en-GB" w:bidi="ks-Deva"/>
              </w:rPr>
              <w:t>111</w:t>
            </w:r>
          </w:p>
        </w:tc>
      </w:tr>
      <w:tr w:rsidR="00BD4CFB" w:rsidRPr="008734C9" w:rsidTr="00297E39">
        <w:trPr>
          <w:trHeight w:val="255"/>
        </w:trPr>
        <w:tc>
          <w:tcPr>
            <w:tcW w:w="2126" w:type="dxa"/>
            <w:tcBorders>
              <w:top w:val="nil"/>
              <w:left w:val="single" w:sz="4" w:space="0" w:color="auto"/>
              <w:bottom w:val="single" w:sz="4" w:space="0" w:color="auto"/>
              <w:right w:val="single" w:sz="4" w:space="0" w:color="auto"/>
            </w:tcBorders>
            <w:noWrap/>
            <w:vAlign w:val="bottom"/>
          </w:tcPr>
          <w:p w:rsidR="00BD4CFB" w:rsidRPr="008734C9" w:rsidRDefault="00BD4CFB" w:rsidP="008734C9">
            <w:pPr>
              <w:spacing w:after="0" w:line="240" w:lineRule="auto"/>
              <w:rPr>
                <w:sz w:val="24"/>
                <w:szCs w:val="24"/>
                <w:lang w:eastAsia="en-GB" w:bidi="ks-Deva"/>
              </w:rPr>
            </w:pPr>
            <w:r w:rsidRPr="008734C9">
              <w:rPr>
                <w:sz w:val="24"/>
                <w:szCs w:val="24"/>
                <w:lang w:eastAsia="en-GB" w:bidi="ks-Deva"/>
              </w:rPr>
              <w:t>£100 +</w:t>
            </w:r>
          </w:p>
        </w:tc>
        <w:tc>
          <w:tcPr>
            <w:tcW w:w="2569" w:type="dxa"/>
            <w:tcBorders>
              <w:top w:val="nil"/>
              <w:left w:val="nil"/>
              <w:bottom w:val="single" w:sz="4" w:space="0" w:color="auto"/>
              <w:right w:val="single" w:sz="4" w:space="0" w:color="auto"/>
            </w:tcBorders>
            <w:noWrap/>
            <w:vAlign w:val="bottom"/>
          </w:tcPr>
          <w:p w:rsidR="00BD4CFB" w:rsidRPr="008734C9" w:rsidRDefault="00BD4CFB" w:rsidP="008734C9">
            <w:pPr>
              <w:spacing w:after="0" w:line="240" w:lineRule="auto"/>
              <w:jc w:val="right"/>
              <w:rPr>
                <w:sz w:val="24"/>
                <w:szCs w:val="24"/>
                <w:lang w:eastAsia="en-GB" w:bidi="ks-Deva"/>
              </w:rPr>
            </w:pPr>
            <w:r>
              <w:rPr>
                <w:sz w:val="24"/>
                <w:szCs w:val="24"/>
                <w:lang w:eastAsia="en-GB" w:bidi="ks-Deva"/>
              </w:rPr>
              <w:t>385</w:t>
            </w:r>
          </w:p>
        </w:tc>
      </w:tr>
      <w:tr w:rsidR="00BD4CFB" w:rsidRPr="008734C9" w:rsidTr="00297E39">
        <w:trPr>
          <w:trHeight w:val="255"/>
        </w:trPr>
        <w:tc>
          <w:tcPr>
            <w:tcW w:w="2126" w:type="dxa"/>
            <w:tcBorders>
              <w:top w:val="nil"/>
              <w:left w:val="single" w:sz="4" w:space="0" w:color="auto"/>
              <w:bottom w:val="single" w:sz="4" w:space="0" w:color="auto"/>
              <w:right w:val="single" w:sz="4" w:space="0" w:color="auto"/>
            </w:tcBorders>
            <w:noWrap/>
            <w:vAlign w:val="bottom"/>
          </w:tcPr>
          <w:p w:rsidR="00BD4CFB" w:rsidRPr="008734C9" w:rsidRDefault="00BD4CFB" w:rsidP="008734C9">
            <w:pPr>
              <w:spacing w:after="0" w:line="240" w:lineRule="auto"/>
              <w:rPr>
                <w:b/>
                <w:bCs/>
                <w:sz w:val="24"/>
                <w:szCs w:val="24"/>
                <w:lang w:eastAsia="en-GB" w:bidi="ks-Deva"/>
              </w:rPr>
            </w:pPr>
            <w:r w:rsidRPr="008734C9">
              <w:rPr>
                <w:b/>
                <w:bCs/>
                <w:sz w:val="24"/>
                <w:szCs w:val="24"/>
                <w:lang w:eastAsia="en-GB" w:bidi="ks-Deva"/>
              </w:rPr>
              <w:t>Total</w:t>
            </w:r>
          </w:p>
        </w:tc>
        <w:tc>
          <w:tcPr>
            <w:tcW w:w="2569" w:type="dxa"/>
            <w:tcBorders>
              <w:top w:val="nil"/>
              <w:left w:val="nil"/>
              <w:bottom w:val="single" w:sz="4" w:space="0" w:color="auto"/>
              <w:right w:val="single" w:sz="4" w:space="0" w:color="auto"/>
            </w:tcBorders>
            <w:noWrap/>
            <w:vAlign w:val="bottom"/>
          </w:tcPr>
          <w:p w:rsidR="00BD4CFB" w:rsidRPr="008734C9" w:rsidRDefault="00BD4CFB" w:rsidP="008734C9">
            <w:pPr>
              <w:spacing w:after="0" w:line="240" w:lineRule="auto"/>
              <w:jc w:val="right"/>
              <w:rPr>
                <w:b/>
                <w:bCs/>
                <w:sz w:val="24"/>
                <w:szCs w:val="24"/>
                <w:lang w:eastAsia="en-GB" w:bidi="ks-Deva"/>
              </w:rPr>
            </w:pPr>
            <w:r>
              <w:rPr>
                <w:b/>
                <w:bCs/>
                <w:sz w:val="24"/>
                <w:szCs w:val="24"/>
                <w:lang w:eastAsia="en-GB" w:bidi="ks-Deva"/>
              </w:rPr>
              <w:t>1365</w:t>
            </w:r>
          </w:p>
        </w:tc>
      </w:tr>
    </w:tbl>
    <w:p w:rsidR="00BD4CFB" w:rsidRDefault="00BD4CFB" w:rsidP="000E4A3B">
      <w:pPr>
        <w:spacing w:after="0" w:line="240" w:lineRule="auto"/>
        <w:rPr>
          <w:rFonts w:cs="Arial"/>
          <w:sz w:val="24"/>
          <w:szCs w:val="24"/>
        </w:rPr>
      </w:pPr>
    </w:p>
    <w:p w:rsidR="00BD4CFB" w:rsidRDefault="00BD4CFB" w:rsidP="000E4A3B">
      <w:pPr>
        <w:spacing w:after="0" w:line="240" w:lineRule="auto"/>
        <w:rPr>
          <w:rFonts w:cs="Arial"/>
          <w:sz w:val="24"/>
          <w:szCs w:val="24"/>
        </w:rPr>
      </w:pPr>
    </w:p>
    <w:p w:rsidR="00BD4CFB" w:rsidRDefault="00BD4CFB" w:rsidP="00735E9B">
      <w:pPr>
        <w:pStyle w:val="Default"/>
        <w:rPr>
          <w:rFonts w:ascii="Calibri" w:hAnsi="Calibri"/>
        </w:rPr>
      </w:pPr>
    </w:p>
    <w:p w:rsidR="00BD4CFB" w:rsidRDefault="00BD4CFB" w:rsidP="00735E9B">
      <w:pPr>
        <w:pStyle w:val="Default"/>
        <w:rPr>
          <w:rFonts w:ascii="Calibri" w:hAnsi="Calibri"/>
        </w:rPr>
      </w:pPr>
    </w:p>
    <w:p w:rsidR="00BD4CFB" w:rsidRDefault="00BD4CFB" w:rsidP="00735E9B">
      <w:pPr>
        <w:pStyle w:val="Default"/>
        <w:rPr>
          <w:rFonts w:ascii="Calibri" w:hAnsi="Calibri"/>
        </w:rPr>
      </w:pPr>
    </w:p>
    <w:p w:rsidR="00BD4CFB" w:rsidRDefault="00BD4CFB" w:rsidP="00735E9B">
      <w:pPr>
        <w:pStyle w:val="Default"/>
        <w:rPr>
          <w:rFonts w:ascii="Calibri" w:hAnsi="Calibri"/>
        </w:rPr>
      </w:pPr>
    </w:p>
    <w:p w:rsidR="00BD4CFB" w:rsidRDefault="00BD4CFB" w:rsidP="00735E9B">
      <w:pPr>
        <w:pStyle w:val="Default"/>
        <w:rPr>
          <w:rFonts w:ascii="Calibri" w:hAnsi="Calibri"/>
        </w:rPr>
      </w:pPr>
    </w:p>
    <w:p w:rsidR="00BD4CFB" w:rsidRDefault="00BD4CFB" w:rsidP="00735E9B">
      <w:pPr>
        <w:pStyle w:val="Default"/>
        <w:rPr>
          <w:rFonts w:ascii="Calibri" w:hAnsi="Calibri"/>
        </w:rPr>
      </w:pPr>
    </w:p>
    <w:p w:rsidR="00BD4CFB" w:rsidRDefault="00BD4CFB" w:rsidP="00735E9B">
      <w:pPr>
        <w:pStyle w:val="Default"/>
        <w:rPr>
          <w:rFonts w:ascii="Calibri" w:hAnsi="Calibri"/>
        </w:rPr>
      </w:pPr>
    </w:p>
    <w:p w:rsidR="00BD4CFB" w:rsidRDefault="00BD4CFB" w:rsidP="00735E9B">
      <w:pPr>
        <w:pStyle w:val="Default"/>
        <w:rPr>
          <w:rFonts w:ascii="Calibri" w:hAnsi="Calibri"/>
        </w:rPr>
      </w:pPr>
    </w:p>
    <w:p w:rsidR="00BD4CFB" w:rsidRDefault="00BD4CFB" w:rsidP="00735E9B">
      <w:pPr>
        <w:pStyle w:val="Default"/>
        <w:rPr>
          <w:rFonts w:ascii="Calibri" w:hAnsi="Calibri"/>
        </w:rPr>
      </w:pPr>
    </w:p>
    <w:p w:rsidR="00BD4CFB" w:rsidRPr="000E4A3B" w:rsidRDefault="00BD4CFB" w:rsidP="00735E9B">
      <w:pPr>
        <w:pStyle w:val="Default"/>
        <w:rPr>
          <w:rFonts w:ascii="Calibri" w:hAnsi="Calibri"/>
        </w:rPr>
      </w:pPr>
    </w:p>
    <w:sectPr w:rsidR="00BD4CFB" w:rsidRPr="000E4A3B" w:rsidSect="00311F91">
      <w:headerReference w:type="even" r:id="rId15"/>
      <w:headerReference w:type="default" r:id="rId16"/>
      <w:footerReference w:type="even" r:id="rId17"/>
      <w:footerReference w:type="default" r:id="rId18"/>
      <w:headerReference w:type="first" r:id="rId19"/>
      <w:footerReference w:type="first" r:id="rId20"/>
      <w:pgSz w:w="11906" w:h="16838"/>
      <w:pgMar w:top="107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CFB" w:rsidRDefault="00BD4CFB">
      <w:r>
        <w:separator/>
      </w:r>
    </w:p>
  </w:endnote>
  <w:endnote w:type="continuationSeparator" w:id="0">
    <w:p w:rsidR="00BD4CFB" w:rsidRDefault="00BD4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FB" w:rsidRDefault="00BD4C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FB" w:rsidRDefault="00BD4C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FB" w:rsidRDefault="00BD4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CFB" w:rsidRDefault="00BD4CFB">
      <w:r>
        <w:separator/>
      </w:r>
    </w:p>
  </w:footnote>
  <w:footnote w:type="continuationSeparator" w:id="0">
    <w:p w:rsidR="00BD4CFB" w:rsidRDefault="00BD4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FB" w:rsidRDefault="00BD4C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FB" w:rsidRDefault="00BD4C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CFB" w:rsidRDefault="00BD4C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D80734"/>
    <w:lvl w:ilvl="0">
      <w:numFmt w:val="bullet"/>
      <w:lvlText w:val="*"/>
      <w:lvlJc w:val="left"/>
    </w:lvl>
  </w:abstractNum>
  <w:abstractNum w:abstractNumId="1">
    <w:nsid w:val="115651CD"/>
    <w:multiLevelType w:val="hybridMultilevel"/>
    <w:tmpl w:val="C3680CFE"/>
    <w:lvl w:ilvl="0" w:tplc="08090001">
      <w:start w:val="1"/>
      <w:numFmt w:val="bullet"/>
      <w:lvlText w:val=""/>
      <w:lvlJc w:val="left"/>
      <w:pPr>
        <w:tabs>
          <w:tab w:val="num" w:pos="644"/>
        </w:tabs>
        <w:ind w:left="644" w:hanging="284"/>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5C6785E"/>
    <w:multiLevelType w:val="hybridMultilevel"/>
    <w:tmpl w:val="E9808E2A"/>
    <w:lvl w:ilvl="0" w:tplc="48D80734">
      <w:numFmt w:val="bullet"/>
      <w:lvlText w:val="•"/>
      <w:legacy w:legacy="1" w:legacySpace="0" w:legacyIndent="0"/>
      <w:lvlJc w:val="left"/>
      <w:rPr>
        <w:rFonts w:ascii="Helv" w:hAnsi="Helv"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FB4DA6"/>
    <w:multiLevelType w:val="hybridMultilevel"/>
    <w:tmpl w:val="1E9A49F2"/>
    <w:lvl w:ilvl="0" w:tplc="5D724C60">
      <w:start w:val="1"/>
      <w:numFmt w:val="bullet"/>
      <w:lvlText w:val=""/>
      <w:lvlJc w:val="left"/>
      <w:pPr>
        <w:tabs>
          <w:tab w:val="num" w:pos="-20"/>
        </w:tabs>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FF8303C"/>
    <w:multiLevelType w:val="hybridMultilevel"/>
    <w:tmpl w:val="39E090FA"/>
    <w:lvl w:ilvl="0" w:tplc="48D80734">
      <w:numFmt w:val="bullet"/>
      <w:lvlText w:val="•"/>
      <w:legacy w:legacy="1" w:legacySpace="0" w:legacyIndent="0"/>
      <w:lvlJc w:val="left"/>
      <w:rPr>
        <w:rFonts w:ascii="Helv" w:hAnsi="Helv"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AA413D6"/>
    <w:multiLevelType w:val="hybridMultilevel"/>
    <w:tmpl w:val="69AA12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E9B"/>
    <w:rsid w:val="00016E83"/>
    <w:rsid w:val="00046692"/>
    <w:rsid w:val="00062669"/>
    <w:rsid w:val="000837B1"/>
    <w:rsid w:val="000A7BD0"/>
    <w:rsid w:val="000E4A3B"/>
    <w:rsid w:val="000F430B"/>
    <w:rsid w:val="001032B6"/>
    <w:rsid w:val="00114585"/>
    <w:rsid w:val="00141BC9"/>
    <w:rsid w:val="00177434"/>
    <w:rsid w:val="00177E6D"/>
    <w:rsid w:val="00181E8E"/>
    <w:rsid w:val="001913C8"/>
    <w:rsid w:val="001A38BC"/>
    <w:rsid w:val="001C4BDC"/>
    <w:rsid w:val="001D6B4A"/>
    <w:rsid w:val="001F40E7"/>
    <w:rsid w:val="002153B6"/>
    <w:rsid w:val="00262F15"/>
    <w:rsid w:val="00286CF4"/>
    <w:rsid w:val="00297E39"/>
    <w:rsid w:val="002A06C5"/>
    <w:rsid w:val="002C7084"/>
    <w:rsid w:val="002E6B77"/>
    <w:rsid w:val="00300110"/>
    <w:rsid w:val="0030238E"/>
    <w:rsid w:val="00311F91"/>
    <w:rsid w:val="0031723C"/>
    <w:rsid w:val="00317B9D"/>
    <w:rsid w:val="00330C2C"/>
    <w:rsid w:val="0034053B"/>
    <w:rsid w:val="0037496F"/>
    <w:rsid w:val="003775D2"/>
    <w:rsid w:val="00383748"/>
    <w:rsid w:val="003848C1"/>
    <w:rsid w:val="003A29BA"/>
    <w:rsid w:val="003B1A98"/>
    <w:rsid w:val="003B6086"/>
    <w:rsid w:val="003C6259"/>
    <w:rsid w:val="003D6365"/>
    <w:rsid w:val="003E45DC"/>
    <w:rsid w:val="003F673F"/>
    <w:rsid w:val="00403DDC"/>
    <w:rsid w:val="00405A6C"/>
    <w:rsid w:val="00406C53"/>
    <w:rsid w:val="004534A3"/>
    <w:rsid w:val="004910C7"/>
    <w:rsid w:val="004A05A9"/>
    <w:rsid w:val="004A38FA"/>
    <w:rsid w:val="004C155E"/>
    <w:rsid w:val="004C54BC"/>
    <w:rsid w:val="004D3BCC"/>
    <w:rsid w:val="004D4B87"/>
    <w:rsid w:val="00500BC0"/>
    <w:rsid w:val="00510A4E"/>
    <w:rsid w:val="005735DA"/>
    <w:rsid w:val="0057376C"/>
    <w:rsid w:val="005867FA"/>
    <w:rsid w:val="00586CED"/>
    <w:rsid w:val="00596C41"/>
    <w:rsid w:val="005A2ECD"/>
    <w:rsid w:val="005A4C78"/>
    <w:rsid w:val="005C7A7D"/>
    <w:rsid w:val="005D6578"/>
    <w:rsid w:val="005F0756"/>
    <w:rsid w:val="00635A2E"/>
    <w:rsid w:val="00642814"/>
    <w:rsid w:val="00655894"/>
    <w:rsid w:val="0066258C"/>
    <w:rsid w:val="00685980"/>
    <w:rsid w:val="006B0598"/>
    <w:rsid w:val="006F59A4"/>
    <w:rsid w:val="006F642D"/>
    <w:rsid w:val="007322CD"/>
    <w:rsid w:val="00735E9B"/>
    <w:rsid w:val="00744D87"/>
    <w:rsid w:val="00765A6D"/>
    <w:rsid w:val="00770992"/>
    <w:rsid w:val="007A1B8E"/>
    <w:rsid w:val="007A34B2"/>
    <w:rsid w:val="007B3F63"/>
    <w:rsid w:val="007C4155"/>
    <w:rsid w:val="007C5A28"/>
    <w:rsid w:val="007E0B89"/>
    <w:rsid w:val="007E106B"/>
    <w:rsid w:val="00826BD9"/>
    <w:rsid w:val="008371F3"/>
    <w:rsid w:val="008734C9"/>
    <w:rsid w:val="008A140F"/>
    <w:rsid w:val="008A69E3"/>
    <w:rsid w:val="008C7B8A"/>
    <w:rsid w:val="008E43CD"/>
    <w:rsid w:val="008F5F17"/>
    <w:rsid w:val="00913653"/>
    <w:rsid w:val="009337C7"/>
    <w:rsid w:val="00942610"/>
    <w:rsid w:val="00967ABE"/>
    <w:rsid w:val="009B2D73"/>
    <w:rsid w:val="009F3A45"/>
    <w:rsid w:val="009F65FD"/>
    <w:rsid w:val="00A3082D"/>
    <w:rsid w:val="00A43588"/>
    <w:rsid w:val="00A52B7F"/>
    <w:rsid w:val="00A57BD5"/>
    <w:rsid w:val="00A841A1"/>
    <w:rsid w:val="00AA4932"/>
    <w:rsid w:val="00AB1DE4"/>
    <w:rsid w:val="00AB7D8A"/>
    <w:rsid w:val="00B243F5"/>
    <w:rsid w:val="00B40A15"/>
    <w:rsid w:val="00B45F96"/>
    <w:rsid w:val="00B510AA"/>
    <w:rsid w:val="00B576B3"/>
    <w:rsid w:val="00B74D4B"/>
    <w:rsid w:val="00BA5366"/>
    <w:rsid w:val="00BB2CEA"/>
    <w:rsid w:val="00BC78B3"/>
    <w:rsid w:val="00BD4CFB"/>
    <w:rsid w:val="00BF1BD9"/>
    <w:rsid w:val="00C00069"/>
    <w:rsid w:val="00C01AB8"/>
    <w:rsid w:val="00C072C7"/>
    <w:rsid w:val="00C22B3A"/>
    <w:rsid w:val="00C36894"/>
    <w:rsid w:val="00CB42B9"/>
    <w:rsid w:val="00D02D95"/>
    <w:rsid w:val="00D150B1"/>
    <w:rsid w:val="00D173B9"/>
    <w:rsid w:val="00D54C90"/>
    <w:rsid w:val="00D7195A"/>
    <w:rsid w:val="00DB2E92"/>
    <w:rsid w:val="00DC46F5"/>
    <w:rsid w:val="00DC7789"/>
    <w:rsid w:val="00DD70ED"/>
    <w:rsid w:val="00DF5EDC"/>
    <w:rsid w:val="00E10D6B"/>
    <w:rsid w:val="00E168B2"/>
    <w:rsid w:val="00E2061B"/>
    <w:rsid w:val="00E322A4"/>
    <w:rsid w:val="00E4344C"/>
    <w:rsid w:val="00E70F20"/>
    <w:rsid w:val="00E82002"/>
    <w:rsid w:val="00E85BE4"/>
    <w:rsid w:val="00E967F7"/>
    <w:rsid w:val="00EB5A85"/>
    <w:rsid w:val="00EE4565"/>
    <w:rsid w:val="00EE72D9"/>
    <w:rsid w:val="00F17CB3"/>
    <w:rsid w:val="00F400D2"/>
    <w:rsid w:val="00F85326"/>
    <w:rsid w:val="00FA575E"/>
    <w:rsid w:val="00FB59E4"/>
    <w:rsid w:val="00FC499D"/>
    <w:rsid w:val="00FD79B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0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35E9B"/>
    <w:pPr>
      <w:autoSpaceDE w:val="0"/>
      <w:autoSpaceDN w:val="0"/>
      <w:adjustRightInd w:val="0"/>
    </w:pPr>
    <w:rPr>
      <w:rFonts w:ascii="Frutiger LT Std 45 Light" w:hAnsi="Frutiger LT Std 45 Light" w:cs="Frutiger LT Std 45 Light"/>
      <w:color w:val="000000"/>
      <w:sz w:val="24"/>
      <w:szCs w:val="24"/>
      <w:lang w:eastAsia="en-US"/>
    </w:rPr>
  </w:style>
  <w:style w:type="table" w:styleId="TableGrid">
    <w:name w:val="Table Grid"/>
    <w:basedOn w:val="TableNormal"/>
    <w:uiPriority w:val="99"/>
    <w:rsid w:val="000E4A3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82002"/>
    <w:rPr>
      <w:rFonts w:cs="Times New Roman"/>
      <w:sz w:val="16"/>
      <w:szCs w:val="16"/>
    </w:rPr>
  </w:style>
  <w:style w:type="paragraph" w:styleId="CommentText">
    <w:name w:val="annotation text"/>
    <w:basedOn w:val="Normal"/>
    <w:link w:val="CommentTextChar"/>
    <w:uiPriority w:val="99"/>
    <w:semiHidden/>
    <w:rsid w:val="00E82002"/>
    <w:rPr>
      <w:sz w:val="20"/>
      <w:szCs w:val="20"/>
    </w:rPr>
  </w:style>
  <w:style w:type="character" w:customStyle="1" w:styleId="CommentTextChar">
    <w:name w:val="Comment Text Char"/>
    <w:basedOn w:val="DefaultParagraphFont"/>
    <w:link w:val="CommentText"/>
    <w:uiPriority w:val="99"/>
    <w:semiHidden/>
    <w:locked/>
    <w:rsid w:val="0065589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82002"/>
    <w:rPr>
      <w:b/>
      <w:bCs/>
    </w:rPr>
  </w:style>
  <w:style w:type="character" w:customStyle="1" w:styleId="CommentSubjectChar">
    <w:name w:val="Comment Subject Char"/>
    <w:basedOn w:val="CommentTextChar"/>
    <w:link w:val="CommentSubject"/>
    <w:uiPriority w:val="99"/>
    <w:semiHidden/>
    <w:locked/>
    <w:rsid w:val="00655894"/>
    <w:rPr>
      <w:b/>
      <w:bCs/>
    </w:rPr>
  </w:style>
  <w:style w:type="paragraph" w:styleId="BalloonText">
    <w:name w:val="Balloon Text"/>
    <w:basedOn w:val="Normal"/>
    <w:link w:val="BalloonTextChar"/>
    <w:uiPriority w:val="99"/>
    <w:semiHidden/>
    <w:rsid w:val="00E82002"/>
    <w:rPr>
      <w:rFonts w:ascii="Tahoma" w:hAnsi="Tahoma"/>
      <w:sz w:val="16"/>
      <w:szCs w:val="16"/>
    </w:rPr>
  </w:style>
  <w:style w:type="character" w:customStyle="1" w:styleId="BalloonTextChar">
    <w:name w:val="Balloon Text Char"/>
    <w:basedOn w:val="DefaultParagraphFont"/>
    <w:link w:val="BalloonText"/>
    <w:uiPriority w:val="99"/>
    <w:semiHidden/>
    <w:locked/>
    <w:rsid w:val="00655894"/>
    <w:rPr>
      <w:rFonts w:ascii="Times New Roman" w:hAnsi="Times New Roman" w:cs="Times New Roman"/>
      <w:sz w:val="2"/>
      <w:lang w:eastAsia="en-US"/>
    </w:rPr>
  </w:style>
  <w:style w:type="character" w:styleId="Hyperlink">
    <w:name w:val="Hyperlink"/>
    <w:basedOn w:val="DefaultParagraphFont"/>
    <w:uiPriority w:val="99"/>
    <w:rsid w:val="00765A6D"/>
    <w:rPr>
      <w:rFonts w:cs="Times New Roman"/>
      <w:color w:val="0000FF"/>
      <w:u w:val="single"/>
    </w:rPr>
  </w:style>
  <w:style w:type="character" w:styleId="FollowedHyperlink">
    <w:name w:val="FollowedHyperlink"/>
    <w:basedOn w:val="DefaultParagraphFont"/>
    <w:uiPriority w:val="99"/>
    <w:rsid w:val="00765A6D"/>
    <w:rPr>
      <w:rFonts w:cs="Times New Roman"/>
      <w:color w:val="000080"/>
      <w:u w:val="single"/>
    </w:rPr>
  </w:style>
  <w:style w:type="paragraph" w:styleId="Header">
    <w:name w:val="header"/>
    <w:basedOn w:val="Normal"/>
    <w:link w:val="HeaderChar"/>
    <w:uiPriority w:val="99"/>
    <w:rsid w:val="00141BC9"/>
    <w:pPr>
      <w:tabs>
        <w:tab w:val="center" w:pos="4153"/>
        <w:tab w:val="right" w:pos="8306"/>
      </w:tabs>
    </w:pPr>
  </w:style>
  <w:style w:type="character" w:customStyle="1" w:styleId="HeaderChar">
    <w:name w:val="Header Char"/>
    <w:basedOn w:val="DefaultParagraphFont"/>
    <w:link w:val="Header"/>
    <w:uiPriority w:val="99"/>
    <w:semiHidden/>
    <w:locked/>
    <w:rsid w:val="002E6B77"/>
    <w:rPr>
      <w:rFonts w:cs="Times New Roman"/>
      <w:lang w:eastAsia="en-US"/>
    </w:rPr>
  </w:style>
  <w:style w:type="paragraph" w:styleId="Footer">
    <w:name w:val="footer"/>
    <w:basedOn w:val="Normal"/>
    <w:link w:val="FooterChar"/>
    <w:uiPriority w:val="99"/>
    <w:rsid w:val="00141BC9"/>
    <w:pPr>
      <w:tabs>
        <w:tab w:val="center" w:pos="4153"/>
        <w:tab w:val="right" w:pos="8306"/>
      </w:tabs>
    </w:pPr>
  </w:style>
  <w:style w:type="character" w:customStyle="1" w:styleId="FooterChar">
    <w:name w:val="Footer Char"/>
    <w:basedOn w:val="DefaultParagraphFont"/>
    <w:link w:val="Footer"/>
    <w:uiPriority w:val="99"/>
    <w:semiHidden/>
    <w:locked/>
    <w:rsid w:val="002E6B77"/>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997222160">
      <w:marLeft w:val="0"/>
      <w:marRight w:val="0"/>
      <w:marTop w:val="0"/>
      <w:marBottom w:val="0"/>
      <w:divBdr>
        <w:top w:val="none" w:sz="0" w:space="0" w:color="auto"/>
        <w:left w:val="none" w:sz="0" w:space="0" w:color="auto"/>
        <w:bottom w:val="none" w:sz="0" w:space="0" w:color="auto"/>
        <w:right w:val="none" w:sz="0" w:space="0" w:color="auto"/>
      </w:divBdr>
    </w:div>
    <w:div w:id="1997222161">
      <w:marLeft w:val="0"/>
      <w:marRight w:val="0"/>
      <w:marTop w:val="0"/>
      <w:marBottom w:val="0"/>
      <w:divBdr>
        <w:top w:val="none" w:sz="0" w:space="0" w:color="auto"/>
        <w:left w:val="none" w:sz="0" w:space="0" w:color="auto"/>
        <w:bottom w:val="none" w:sz="0" w:space="0" w:color="auto"/>
        <w:right w:val="none" w:sz="0" w:space="0" w:color="auto"/>
      </w:divBdr>
    </w:div>
    <w:div w:id="1997222162">
      <w:marLeft w:val="0"/>
      <w:marRight w:val="0"/>
      <w:marTop w:val="0"/>
      <w:marBottom w:val="0"/>
      <w:divBdr>
        <w:top w:val="none" w:sz="0" w:space="0" w:color="auto"/>
        <w:left w:val="none" w:sz="0" w:space="0" w:color="auto"/>
        <w:bottom w:val="none" w:sz="0" w:space="0" w:color="auto"/>
        <w:right w:val="none" w:sz="0" w:space="0" w:color="auto"/>
      </w:divBdr>
    </w:div>
    <w:div w:id="1997222163">
      <w:marLeft w:val="0"/>
      <w:marRight w:val="0"/>
      <w:marTop w:val="0"/>
      <w:marBottom w:val="0"/>
      <w:divBdr>
        <w:top w:val="none" w:sz="0" w:space="0" w:color="auto"/>
        <w:left w:val="none" w:sz="0" w:space="0" w:color="auto"/>
        <w:bottom w:val="none" w:sz="0" w:space="0" w:color="auto"/>
        <w:right w:val="none" w:sz="0" w:space="0" w:color="auto"/>
      </w:divBdr>
    </w:div>
    <w:div w:id="1997222164">
      <w:marLeft w:val="0"/>
      <w:marRight w:val="0"/>
      <w:marTop w:val="0"/>
      <w:marBottom w:val="0"/>
      <w:divBdr>
        <w:top w:val="none" w:sz="0" w:space="0" w:color="auto"/>
        <w:left w:val="none" w:sz="0" w:space="0" w:color="auto"/>
        <w:bottom w:val="none" w:sz="0" w:space="0" w:color="auto"/>
        <w:right w:val="none" w:sz="0" w:space="0" w:color="auto"/>
      </w:divBdr>
    </w:div>
    <w:div w:id="1997222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gov.uk/benefits" TargetMode="External"/><Relationship Id="rId13" Type="http://schemas.openxmlformats.org/officeDocument/2006/relationships/hyperlink" Target="http://www.manchester.gov.uk/wor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v.uk/benefit-cap" TargetMode="External"/><Relationship Id="rId12" Type="http://schemas.openxmlformats.org/officeDocument/2006/relationships/hyperlink" Target="file:///\\mcc001c27fdfs\dfs-all$\CEX\EconomicDevelopmentUnit\1%20Addressing%20Inequality%20-%20Cormac\Welfare%20Reform\Benefit%20Cap\www.manchestermove.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vice@citizensadvicemcr.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nchester.gov.uk/dh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v.uk/benefit-cap-calculator" TargetMode="External"/><Relationship Id="rId14" Type="http://schemas.openxmlformats.org/officeDocument/2006/relationships/hyperlink" Target="http://www.manchester.gov.uk/helpandsupportmanches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1553</Words>
  <Characters>8855</Characters>
  <Application>Microsoft Office Outlook</Application>
  <DocSecurity>0</DocSecurity>
  <Lines>0</Lines>
  <Paragraphs>0</Paragraphs>
  <ScaleCrop>false</ScaleCrop>
  <Company>Manchester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The Benefit Cap 2016</dc:title>
  <dc:subject/>
  <dc:creator>Peter Richards</dc:creator>
  <cp:keywords/>
  <dc:description/>
  <cp:lastModifiedBy>scrivenh</cp:lastModifiedBy>
  <cp:revision>2</cp:revision>
  <cp:lastPrinted>2016-10-10T14:29:00Z</cp:lastPrinted>
  <dcterms:created xsi:type="dcterms:W3CDTF">2016-10-24T10:16:00Z</dcterms:created>
  <dcterms:modified xsi:type="dcterms:W3CDTF">2016-10-24T10:16:00Z</dcterms:modified>
</cp:coreProperties>
</file>