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36" w:rsidRPr="00EC7A32" w:rsidRDefault="0087588F" w:rsidP="0087588F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EC7A32">
        <w:rPr>
          <w:b/>
          <w:sz w:val="40"/>
          <w:szCs w:val="40"/>
          <w:u w:val="single"/>
        </w:rPr>
        <w:t>Case Study B</w:t>
      </w:r>
    </w:p>
    <w:p w:rsidR="0087588F" w:rsidRPr="0087588F" w:rsidRDefault="0087588F" w:rsidP="0087588F">
      <w:pPr>
        <w:rPr>
          <w:b/>
        </w:rPr>
      </w:pPr>
    </w:p>
    <w:tbl>
      <w:tblPr>
        <w:tblStyle w:val="TableGrid"/>
        <w:tblpPr w:leftFromText="180" w:rightFromText="180" w:vertAnchor="text" w:horzAnchor="margin" w:tblpY="683"/>
        <w:tblW w:w="9923" w:type="dxa"/>
        <w:tblLook w:val="04A0" w:firstRow="1" w:lastRow="0" w:firstColumn="1" w:lastColumn="0" w:noHBand="0" w:noVBand="1"/>
      </w:tblPr>
      <w:tblGrid>
        <w:gridCol w:w="3535"/>
        <w:gridCol w:w="3251"/>
        <w:gridCol w:w="1012"/>
        <w:gridCol w:w="992"/>
        <w:gridCol w:w="1133"/>
      </w:tblGrid>
      <w:tr w:rsidR="00FA2736" w:rsidRPr="00FA2736" w:rsidTr="00A7019D">
        <w:tc>
          <w:tcPr>
            <w:tcW w:w="3535" w:type="dxa"/>
            <w:shd w:val="clear" w:color="auto" w:fill="D9D9D9" w:themeFill="background1" w:themeFillShade="D9"/>
          </w:tcPr>
          <w:p w:rsidR="00FA2736" w:rsidRPr="00FA2736" w:rsidRDefault="00FA2736" w:rsidP="00FA2736">
            <w:pPr>
              <w:spacing w:after="200" w:line="276" w:lineRule="auto"/>
              <w:rPr>
                <w:b/>
              </w:rPr>
            </w:pPr>
            <w:r w:rsidRPr="00FA2736">
              <w:rPr>
                <w:b/>
              </w:rPr>
              <w:t>Cost heading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:rsidR="00FA2736" w:rsidRPr="00FA2736" w:rsidRDefault="00FA2736" w:rsidP="00FA2736">
            <w:pPr>
              <w:spacing w:after="200" w:line="276" w:lineRule="auto"/>
              <w:rPr>
                <w:b/>
              </w:rPr>
            </w:pPr>
            <w:r w:rsidRPr="00FA2736">
              <w:rPr>
                <w:b/>
              </w:rPr>
              <w:t>Description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FA2736" w:rsidRPr="00FA2736" w:rsidRDefault="00FA2736" w:rsidP="00FA2736">
            <w:pPr>
              <w:spacing w:after="200" w:line="276" w:lineRule="auto"/>
              <w:rPr>
                <w:b/>
              </w:rPr>
            </w:pPr>
            <w:r w:rsidRPr="00FA2736">
              <w:rPr>
                <w:b/>
              </w:rPr>
              <w:t>Cost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A2736" w:rsidRPr="00FA2736" w:rsidRDefault="00FA2736" w:rsidP="00FA2736">
            <w:pPr>
              <w:spacing w:after="200" w:line="276" w:lineRule="auto"/>
              <w:rPr>
                <w:b/>
              </w:rPr>
            </w:pPr>
            <w:r w:rsidRPr="00FA2736">
              <w:rPr>
                <w:b/>
              </w:rPr>
              <w:t>VAT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FA2736" w:rsidRPr="00FA2736" w:rsidRDefault="00FA2736" w:rsidP="00FA2736">
            <w:pPr>
              <w:spacing w:after="200" w:line="276" w:lineRule="auto"/>
              <w:rPr>
                <w:b/>
              </w:rPr>
            </w:pPr>
            <w:r w:rsidRPr="00FA2736">
              <w:rPr>
                <w:b/>
              </w:rPr>
              <w:t>Total</w:t>
            </w:r>
          </w:p>
        </w:tc>
      </w:tr>
      <w:tr w:rsidR="0087588F" w:rsidRPr="00FA2736" w:rsidTr="00A7019D">
        <w:tc>
          <w:tcPr>
            <w:tcW w:w="3535" w:type="dxa"/>
          </w:tcPr>
          <w:p w:rsidR="0087588F" w:rsidRPr="00A7019D" w:rsidRDefault="0087588F" w:rsidP="00FA2736">
            <w:pPr>
              <w:spacing w:after="200" w:line="276" w:lineRule="auto"/>
              <w:rPr>
                <w:b/>
              </w:rPr>
            </w:pPr>
            <w:r w:rsidRPr="00A7019D">
              <w:rPr>
                <w:b/>
              </w:rPr>
              <w:t>Repair and conservation work</w:t>
            </w:r>
          </w:p>
        </w:tc>
        <w:tc>
          <w:tcPr>
            <w:tcW w:w="3251" w:type="dxa"/>
          </w:tcPr>
          <w:p w:rsidR="0087588F" w:rsidRPr="00FA2736" w:rsidRDefault="0087588F" w:rsidP="00FA2736">
            <w:pPr>
              <w:spacing w:after="200" w:line="276" w:lineRule="auto"/>
            </w:pPr>
            <w:r>
              <w:t>Statue</w:t>
            </w:r>
            <w:r w:rsidRPr="00FA2736">
              <w:t xml:space="preserve"> Rebuild</w:t>
            </w:r>
          </w:p>
        </w:tc>
        <w:tc>
          <w:tcPr>
            <w:tcW w:w="1012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  <w:r w:rsidRPr="00FA2736">
              <w:t>278</w:t>
            </w:r>
            <w:r>
              <w:t>,</w:t>
            </w:r>
            <w:r w:rsidRPr="00FA2736">
              <w:t>750</w:t>
            </w:r>
          </w:p>
        </w:tc>
        <w:tc>
          <w:tcPr>
            <w:tcW w:w="992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  <w:r w:rsidRPr="00FA2736">
              <w:t>55</w:t>
            </w:r>
            <w:r>
              <w:t>,</w:t>
            </w:r>
            <w:r w:rsidRPr="00FA2736">
              <w:t>750</w:t>
            </w:r>
          </w:p>
        </w:tc>
        <w:tc>
          <w:tcPr>
            <w:tcW w:w="1133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  <w:r w:rsidRPr="00FA2736">
              <w:t>334</w:t>
            </w:r>
            <w:r>
              <w:t>,</w:t>
            </w:r>
            <w:r w:rsidRPr="00FA2736">
              <w:t>500</w:t>
            </w:r>
          </w:p>
        </w:tc>
      </w:tr>
      <w:tr w:rsidR="0087588F" w:rsidRPr="00FA2736" w:rsidTr="00A7019D">
        <w:trPr>
          <w:trHeight w:val="557"/>
        </w:trPr>
        <w:tc>
          <w:tcPr>
            <w:tcW w:w="3535" w:type="dxa"/>
          </w:tcPr>
          <w:p w:rsidR="0087588F" w:rsidRPr="00A7019D" w:rsidRDefault="0087588F" w:rsidP="00FA2736">
            <w:pPr>
              <w:spacing w:after="200" w:line="276" w:lineRule="auto"/>
              <w:rPr>
                <w:b/>
              </w:rPr>
            </w:pPr>
            <w:r w:rsidRPr="00A7019D">
              <w:rPr>
                <w:b/>
              </w:rPr>
              <w:t>New building work</w:t>
            </w:r>
          </w:p>
        </w:tc>
        <w:tc>
          <w:tcPr>
            <w:tcW w:w="3251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  <w:r w:rsidRPr="00FA2736">
              <w:t xml:space="preserve">New electrical installation for </w:t>
            </w:r>
            <w:r>
              <w:t>statue</w:t>
            </w:r>
            <w:r w:rsidRPr="00FA2736">
              <w:t xml:space="preserve"> &amp;</w:t>
            </w:r>
            <w:r>
              <w:t xml:space="preserve"> </w:t>
            </w:r>
            <w:r w:rsidRPr="00FA2736">
              <w:t>interactive facility</w:t>
            </w:r>
          </w:p>
        </w:tc>
        <w:tc>
          <w:tcPr>
            <w:tcW w:w="1012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  <w:r w:rsidRPr="00FA2736">
              <w:t>15</w:t>
            </w:r>
            <w:r>
              <w:t>,</w:t>
            </w:r>
            <w:r w:rsidRPr="00FA2736">
              <w:t>422</w:t>
            </w:r>
          </w:p>
        </w:tc>
        <w:tc>
          <w:tcPr>
            <w:tcW w:w="992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  <w:r w:rsidRPr="00FA2736">
              <w:t>3</w:t>
            </w:r>
            <w:r>
              <w:t>,</w:t>
            </w:r>
            <w:r w:rsidRPr="00FA2736">
              <w:t>078</w:t>
            </w:r>
          </w:p>
        </w:tc>
        <w:tc>
          <w:tcPr>
            <w:tcW w:w="1133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  <w:r w:rsidRPr="00FA2736">
              <w:t>18</w:t>
            </w:r>
            <w:r>
              <w:t>,</w:t>
            </w:r>
            <w:r w:rsidRPr="00FA2736">
              <w:t>500</w:t>
            </w:r>
          </w:p>
        </w:tc>
      </w:tr>
      <w:tr w:rsidR="0087588F" w:rsidRPr="00FA2736" w:rsidTr="00A7019D">
        <w:tc>
          <w:tcPr>
            <w:tcW w:w="3535" w:type="dxa"/>
          </w:tcPr>
          <w:p w:rsidR="0087588F" w:rsidRPr="00A7019D" w:rsidRDefault="0087588F" w:rsidP="00FA2736">
            <w:pPr>
              <w:spacing w:after="200" w:line="276" w:lineRule="auto"/>
              <w:rPr>
                <w:b/>
              </w:rPr>
            </w:pPr>
            <w:r w:rsidRPr="00A7019D">
              <w:rPr>
                <w:b/>
              </w:rPr>
              <w:t>Other capital work</w:t>
            </w:r>
          </w:p>
        </w:tc>
        <w:tc>
          <w:tcPr>
            <w:tcW w:w="3251" w:type="dxa"/>
          </w:tcPr>
          <w:p w:rsidR="0087588F" w:rsidRPr="00FA2736" w:rsidRDefault="0087588F" w:rsidP="00A7019D">
            <w:pPr>
              <w:spacing w:after="200" w:line="276" w:lineRule="auto"/>
              <w:rPr>
                <w:b/>
              </w:rPr>
            </w:pPr>
            <w:r>
              <w:t>Interactive e</w:t>
            </w:r>
            <w:r w:rsidRPr="00FA2736">
              <w:t xml:space="preserve">lement of </w:t>
            </w:r>
            <w:r>
              <w:t>statue r</w:t>
            </w:r>
            <w:r w:rsidRPr="00FA2736">
              <w:t xml:space="preserve">ebuild </w:t>
            </w:r>
          </w:p>
        </w:tc>
        <w:tc>
          <w:tcPr>
            <w:tcW w:w="1012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  <w:r w:rsidRPr="00FA2736">
              <w:t>31</w:t>
            </w:r>
            <w:r>
              <w:t>,</w:t>
            </w:r>
            <w:r w:rsidRPr="00FA2736">
              <w:t>250</w:t>
            </w:r>
          </w:p>
        </w:tc>
        <w:tc>
          <w:tcPr>
            <w:tcW w:w="992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  <w:r w:rsidRPr="00FA2736">
              <w:t>6</w:t>
            </w:r>
            <w:r>
              <w:t>,</w:t>
            </w:r>
            <w:r w:rsidRPr="00FA2736">
              <w:t>250</w:t>
            </w:r>
          </w:p>
        </w:tc>
        <w:tc>
          <w:tcPr>
            <w:tcW w:w="1133" w:type="dxa"/>
          </w:tcPr>
          <w:p w:rsidR="0087588F" w:rsidRPr="00FA2736" w:rsidRDefault="0087588F" w:rsidP="00A7019D">
            <w:pPr>
              <w:spacing w:after="200" w:line="276" w:lineRule="auto"/>
              <w:rPr>
                <w:b/>
              </w:rPr>
            </w:pPr>
            <w:r w:rsidRPr="00FA2736">
              <w:t>37</w:t>
            </w:r>
            <w:r>
              <w:t>,</w:t>
            </w:r>
            <w:r w:rsidRPr="00FA2736">
              <w:t>500</w:t>
            </w:r>
          </w:p>
        </w:tc>
      </w:tr>
      <w:tr w:rsidR="0087588F" w:rsidRPr="00FA2736" w:rsidTr="00A7019D">
        <w:tc>
          <w:tcPr>
            <w:tcW w:w="3535" w:type="dxa"/>
          </w:tcPr>
          <w:p w:rsidR="0087588F" w:rsidRPr="00A7019D" w:rsidRDefault="0087588F" w:rsidP="00FA2736">
            <w:pPr>
              <w:spacing w:after="200" w:line="276" w:lineRule="auto"/>
              <w:rPr>
                <w:b/>
              </w:rPr>
            </w:pPr>
            <w:r w:rsidRPr="00A7019D">
              <w:rPr>
                <w:b/>
              </w:rPr>
              <w:t xml:space="preserve">Equipment and materials (capital) </w:t>
            </w:r>
          </w:p>
        </w:tc>
        <w:tc>
          <w:tcPr>
            <w:tcW w:w="3251" w:type="dxa"/>
          </w:tcPr>
          <w:p w:rsidR="0087588F" w:rsidRPr="00FA2736" w:rsidRDefault="0087588F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1012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</w:p>
        </w:tc>
        <w:tc>
          <w:tcPr>
            <w:tcW w:w="1133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</w:p>
        </w:tc>
      </w:tr>
      <w:tr w:rsidR="0087588F" w:rsidRPr="00FA2736" w:rsidTr="00A7019D">
        <w:tc>
          <w:tcPr>
            <w:tcW w:w="3535" w:type="dxa"/>
          </w:tcPr>
          <w:p w:rsidR="0087588F" w:rsidRPr="00A7019D" w:rsidRDefault="0087588F" w:rsidP="00A7019D">
            <w:pPr>
              <w:spacing w:after="200" w:line="276" w:lineRule="auto"/>
              <w:rPr>
                <w:b/>
              </w:rPr>
            </w:pPr>
            <w:r w:rsidRPr="00A7019D">
              <w:rPr>
                <w:b/>
              </w:rPr>
              <w:t xml:space="preserve">Other costs (capital) </w:t>
            </w:r>
          </w:p>
        </w:tc>
        <w:tc>
          <w:tcPr>
            <w:tcW w:w="3251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</w:p>
        </w:tc>
        <w:tc>
          <w:tcPr>
            <w:tcW w:w="1012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</w:p>
        </w:tc>
        <w:tc>
          <w:tcPr>
            <w:tcW w:w="1133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</w:p>
        </w:tc>
      </w:tr>
      <w:tr w:rsidR="0087588F" w:rsidRPr="00FA2736" w:rsidTr="00A7019D">
        <w:tc>
          <w:tcPr>
            <w:tcW w:w="3535" w:type="dxa"/>
          </w:tcPr>
          <w:p w:rsidR="0087588F" w:rsidRPr="00A7019D" w:rsidRDefault="0087588F" w:rsidP="00FA2736">
            <w:pPr>
              <w:spacing w:after="200" w:line="276" w:lineRule="auto"/>
              <w:rPr>
                <w:b/>
              </w:rPr>
            </w:pPr>
            <w:r w:rsidRPr="00A7019D">
              <w:rPr>
                <w:b/>
              </w:rPr>
              <w:t xml:space="preserve">Professional fees relating to any of the above (capital) </w:t>
            </w:r>
          </w:p>
        </w:tc>
        <w:tc>
          <w:tcPr>
            <w:tcW w:w="3251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</w:p>
        </w:tc>
        <w:tc>
          <w:tcPr>
            <w:tcW w:w="1012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</w:p>
        </w:tc>
        <w:tc>
          <w:tcPr>
            <w:tcW w:w="1133" w:type="dxa"/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</w:p>
        </w:tc>
      </w:tr>
      <w:tr w:rsidR="0087588F" w:rsidRPr="00FA2736" w:rsidTr="0087588F">
        <w:tc>
          <w:tcPr>
            <w:tcW w:w="3535" w:type="dxa"/>
            <w:tcBorders>
              <w:bottom w:val="single" w:sz="4" w:space="0" w:color="auto"/>
            </w:tcBorders>
          </w:tcPr>
          <w:p w:rsidR="0087588F" w:rsidRPr="00A7019D" w:rsidRDefault="0087588F" w:rsidP="00FA2736">
            <w:pPr>
              <w:spacing w:after="200" w:line="276" w:lineRule="auto"/>
              <w:rPr>
                <w:b/>
              </w:rPr>
            </w:pPr>
            <w:r w:rsidRPr="00A7019D">
              <w:rPr>
                <w:b/>
              </w:rPr>
              <w:t xml:space="preserve">Total   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  <w:r w:rsidRPr="00FA2736">
              <w:t>325</w:t>
            </w:r>
            <w:r>
              <w:t>,</w:t>
            </w:r>
            <w:r w:rsidRPr="00FA2736">
              <w:t>422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  <w:r w:rsidRPr="00FA2736">
              <w:t>65</w:t>
            </w:r>
            <w:r>
              <w:t>,</w:t>
            </w:r>
            <w:r w:rsidRPr="00FA2736">
              <w:t>078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87588F" w:rsidRPr="00FA2736" w:rsidRDefault="0087588F" w:rsidP="00FA2736">
            <w:pPr>
              <w:spacing w:after="200" w:line="276" w:lineRule="auto"/>
              <w:rPr>
                <w:b/>
              </w:rPr>
            </w:pPr>
            <w:r w:rsidRPr="00FA2736">
              <w:t>390</w:t>
            </w:r>
            <w:r>
              <w:t>,</w:t>
            </w:r>
            <w:r w:rsidRPr="00FA2736">
              <w:t>500</w:t>
            </w:r>
          </w:p>
        </w:tc>
      </w:tr>
    </w:tbl>
    <w:p w:rsidR="0087588F" w:rsidRPr="0087588F" w:rsidRDefault="0087588F" w:rsidP="00FA2736">
      <w:pPr>
        <w:spacing w:after="200" w:line="276" w:lineRule="auto"/>
        <w:rPr>
          <w:b/>
        </w:rPr>
      </w:pPr>
      <w:r w:rsidRPr="0087588F">
        <w:rPr>
          <w:b/>
        </w:rPr>
        <w:t>Capital Costs</w:t>
      </w:r>
    </w:p>
    <w:p w:rsidR="00A7019D" w:rsidRDefault="00A7019D" w:rsidP="00FA2736">
      <w:pPr>
        <w:spacing w:after="200" w:line="276" w:lineRule="auto"/>
      </w:pPr>
    </w:p>
    <w:tbl>
      <w:tblPr>
        <w:tblStyle w:val="TableGrid"/>
        <w:tblpPr w:leftFromText="180" w:rightFromText="180" w:vertAnchor="text" w:horzAnchor="margin" w:tblpY="683"/>
        <w:tblW w:w="9923" w:type="dxa"/>
        <w:tblLook w:val="04A0" w:firstRow="1" w:lastRow="0" w:firstColumn="1" w:lastColumn="0" w:noHBand="0" w:noVBand="1"/>
      </w:tblPr>
      <w:tblGrid>
        <w:gridCol w:w="3535"/>
        <w:gridCol w:w="3251"/>
        <w:gridCol w:w="1012"/>
        <w:gridCol w:w="992"/>
        <w:gridCol w:w="1133"/>
      </w:tblGrid>
      <w:tr w:rsidR="00A7019D" w:rsidRPr="00A7019D" w:rsidTr="00A7019D">
        <w:tc>
          <w:tcPr>
            <w:tcW w:w="3535" w:type="dxa"/>
            <w:shd w:val="clear" w:color="auto" w:fill="D9D9D9" w:themeFill="background1" w:themeFillShade="D9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 w:rsidRPr="00A7019D">
              <w:rPr>
                <w:b/>
              </w:rPr>
              <w:t>Cost heading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 w:rsidRPr="00A7019D">
              <w:rPr>
                <w:b/>
              </w:rPr>
              <w:t>Description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 w:rsidRPr="00A7019D">
              <w:rPr>
                <w:b/>
              </w:rPr>
              <w:t>Cost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 w:rsidRPr="00A7019D">
              <w:rPr>
                <w:b/>
              </w:rPr>
              <w:t>VAT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 w:rsidRPr="00A7019D">
              <w:rPr>
                <w:b/>
              </w:rPr>
              <w:t>Total</w:t>
            </w:r>
          </w:p>
        </w:tc>
      </w:tr>
      <w:tr w:rsidR="00A7019D" w:rsidRPr="00A7019D" w:rsidTr="00A7019D">
        <w:tc>
          <w:tcPr>
            <w:tcW w:w="3535" w:type="dxa"/>
          </w:tcPr>
          <w:p w:rsidR="00A7019D" w:rsidRPr="00FA2736" w:rsidRDefault="00A7019D" w:rsidP="00A7019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New Staff Costs</w:t>
            </w:r>
          </w:p>
        </w:tc>
        <w:tc>
          <w:tcPr>
            <w:tcW w:w="3251" w:type="dxa"/>
          </w:tcPr>
          <w:p w:rsidR="00A7019D" w:rsidRPr="00A7019D" w:rsidRDefault="00A7019D" w:rsidP="00A7019D">
            <w:pPr>
              <w:spacing w:after="200" w:line="276" w:lineRule="auto"/>
            </w:pPr>
          </w:p>
        </w:tc>
        <w:tc>
          <w:tcPr>
            <w:tcW w:w="1012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1133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</w:tr>
      <w:tr w:rsidR="00A7019D" w:rsidRPr="00A7019D" w:rsidTr="00A7019D">
        <w:trPr>
          <w:trHeight w:val="557"/>
        </w:trPr>
        <w:tc>
          <w:tcPr>
            <w:tcW w:w="3535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Training for staff</w:t>
            </w:r>
          </w:p>
        </w:tc>
        <w:tc>
          <w:tcPr>
            <w:tcW w:w="3251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1012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1133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</w:tr>
      <w:tr w:rsidR="00A7019D" w:rsidRPr="00A7019D" w:rsidTr="00A7019D">
        <w:tc>
          <w:tcPr>
            <w:tcW w:w="3535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Training for volunteers</w:t>
            </w:r>
          </w:p>
        </w:tc>
        <w:tc>
          <w:tcPr>
            <w:tcW w:w="3251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1012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1133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</w:tr>
      <w:tr w:rsidR="00A7019D" w:rsidRPr="00A7019D" w:rsidTr="00A7019D">
        <w:tc>
          <w:tcPr>
            <w:tcW w:w="3535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Travel for staff</w:t>
            </w:r>
          </w:p>
        </w:tc>
        <w:tc>
          <w:tcPr>
            <w:tcW w:w="3251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1012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1133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</w:tr>
      <w:tr w:rsidR="00A7019D" w:rsidRPr="00A7019D" w:rsidTr="00A7019D">
        <w:tc>
          <w:tcPr>
            <w:tcW w:w="3535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Travel and expenses for volunteers</w:t>
            </w:r>
          </w:p>
        </w:tc>
        <w:tc>
          <w:tcPr>
            <w:tcW w:w="3251" w:type="dxa"/>
          </w:tcPr>
          <w:p w:rsidR="00A7019D" w:rsidRPr="00A7019D" w:rsidRDefault="00A7019D" w:rsidP="00A7019D">
            <w:pPr>
              <w:spacing w:after="200" w:line="276" w:lineRule="auto"/>
            </w:pPr>
            <w:r>
              <w:t>Workshop visits for students and stewards</w:t>
            </w:r>
          </w:p>
        </w:tc>
        <w:tc>
          <w:tcPr>
            <w:tcW w:w="1012" w:type="dxa"/>
          </w:tcPr>
          <w:p w:rsidR="00A7019D" w:rsidRPr="00A7019D" w:rsidRDefault="00A7019D" w:rsidP="00A7019D">
            <w:pPr>
              <w:spacing w:after="200" w:line="276" w:lineRule="auto"/>
            </w:pPr>
            <w:r w:rsidRPr="00A7019D">
              <w:t>7</w:t>
            </w:r>
            <w:r>
              <w:t>,</w:t>
            </w:r>
            <w:r w:rsidRPr="00A7019D">
              <w:t>000</w:t>
            </w:r>
          </w:p>
        </w:tc>
        <w:tc>
          <w:tcPr>
            <w:tcW w:w="992" w:type="dxa"/>
          </w:tcPr>
          <w:p w:rsidR="00A7019D" w:rsidRPr="00A7019D" w:rsidRDefault="00A7019D" w:rsidP="00A7019D">
            <w:pPr>
              <w:spacing w:after="200" w:line="276" w:lineRule="auto"/>
            </w:pPr>
          </w:p>
        </w:tc>
        <w:tc>
          <w:tcPr>
            <w:tcW w:w="1133" w:type="dxa"/>
          </w:tcPr>
          <w:p w:rsidR="00A7019D" w:rsidRPr="00A7019D" w:rsidRDefault="00A7019D" w:rsidP="00A7019D">
            <w:pPr>
              <w:spacing w:after="200" w:line="276" w:lineRule="auto"/>
            </w:pPr>
            <w:r w:rsidRPr="00A7019D">
              <w:t>7</w:t>
            </w:r>
            <w:r>
              <w:t>,</w:t>
            </w:r>
            <w:r w:rsidRPr="00A7019D">
              <w:t>000</w:t>
            </w:r>
          </w:p>
        </w:tc>
      </w:tr>
      <w:tr w:rsidR="00A7019D" w:rsidRPr="00A7019D" w:rsidTr="00A7019D">
        <w:tc>
          <w:tcPr>
            <w:tcW w:w="3535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Equipment and materials (activity)</w:t>
            </w:r>
          </w:p>
        </w:tc>
        <w:tc>
          <w:tcPr>
            <w:tcW w:w="3251" w:type="dxa"/>
          </w:tcPr>
          <w:p w:rsidR="00A7019D" w:rsidRPr="00A7019D" w:rsidRDefault="00A7019D" w:rsidP="00A7019D">
            <w:pPr>
              <w:spacing w:after="200" w:line="276" w:lineRule="auto"/>
            </w:pPr>
            <w:r>
              <w:t xml:space="preserve">Computer, projector, phone connection, </w:t>
            </w:r>
            <w:proofErr w:type="spellStart"/>
            <w:r>
              <w:t>WiFi</w:t>
            </w:r>
            <w:proofErr w:type="spellEnd"/>
            <w:r>
              <w:t xml:space="preserve"> &amp; internet</w:t>
            </w:r>
          </w:p>
        </w:tc>
        <w:tc>
          <w:tcPr>
            <w:tcW w:w="1012" w:type="dxa"/>
          </w:tcPr>
          <w:p w:rsidR="00A7019D" w:rsidRPr="00A7019D" w:rsidRDefault="00A7019D" w:rsidP="00A7019D">
            <w:pPr>
              <w:spacing w:after="200" w:line="276" w:lineRule="auto"/>
            </w:pPr>
            <w:r w:rsidRPr="00A7019D">
              <w:t>1</w:t>
            </w:r>
            <w:r>
              <w:t>,</w:t>
            </w:r>
            <w:r w:rsidRPr="00A7019D">
              <w:t>000</w:t>
            </w:r>
          </w:p>
        </w:tc>
        <w:tc>
          <w:tcPr>
            <w:tcW w:w="992" w:type="dxa"/>
          </w:tcPr>
          <w:p w:rsidR="00A7019D" w:rsidRPr="00A7019D" w:rsidRDefault="00A7019D" w:rsidP="00A7019D">
            <w:pPr>
              <w:spacing w:after="200" w:line="276" w:lineRule="auto"/>
            </w:pPr>
            <w:r w:rsidRPr="00A7019D">
              <w:t>200</w:t>
            </w:r>
          </w:p>
        </w:tc>
        <w:tc>
          <w:tcPr>
            <w:tcW w:w="1133" w:type="dxa"/>
          </w:tcPr>
          <w:p w:rsidR="00A7019D" w:rsidRPr="00A7019D" w:rsidRDefault="00A7019D" w:rsidP="00A7019D">
            <w:pPr>
              <w:spacing w:after="200" w:line="276" w:lineRule="auto"/>
            </w:pPr>
            <w:r w:rsidRPr="00A7019D">
              <w:t>1</w:t>
            </w:r>
            <w:r>
              <w:t>,</w:t>
            </w:r>
            <w:r w:rsidRPr="00A7019D">
              <w:t>200</w:t>
            </w:r>
          </w:p>
        </w:tc>
      </w:tr>
      <w:tr w:rsidR="00A7019D" w:rsidRPr="00A7019D" w:rsidTr="00A7019D">
        <w:tc>
          <w:tcPr>
            <w:tcW w:w="3535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Other costs (activity)</w:t>
            </w:r>
          </w:p>
        </w:tc>
        <w:tc>
          <w:tcPr>
            <w:tcW w:w="3251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1012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1133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</w:tr>
      <w:tr w:rsidR="00A7019D" w:rsidRPr="00A7019D" w:rsidTr="00A7019D">
        <w:tc>
          <w:tcPr>
            <w:tcW w:w="3535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Professional fees relating to any of the above (activity)</w:t>
            </w:r>
          </w:p>
        </w:tc>
        <w:tc>
          <w:tcPr>
            <w:tcW w:w="3251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>
              <w:t>Statue a</w:t>
            </w:r>
            <w:r w:rsidRPr="00A7019D">
              <w:t xml:space="preserve">dvisor, </w:t>
            </w:r>
            <w:r>
              <w:t>open events and talks</w:t>
            </w:r>
            <w:r w:rsidRPr="00A7019D">
              <w:t xml:space="preserve"> </w:t>
            </w:r>
          </w:p>
        </w:tc>
        <w:tc>
          <w:tcPr>
            <w:tcW w:w="1012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 w:rsidRPr="00A7019D">
              <w:t>18</w:t>
            </w:r>
            <w:r>
              <w:t>,</w:t>
            </w:r>
            <w:r w:rsidRPr="00A7019D">
              <w:t>500</w:t>
            </w:r>
          </w:p>
        </w:tc>
        <w:tc>
          <w:tcPr>
            <w:tcW w:w="992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1133" w:type="dxa"/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 w:rsidRPr="00A7019D">
              <w:t>18</w:t>
            </w:r>
            <w:r>
              <w:t>,</w:t>
            </w:r>
            <w:r w:rsidRPr="00A7019D">
              <w:t>500</w:t>
            </w:r>
          </w:p>
        </w:tc>
      </w:tr>
      <w:tr w:rsidR="00A7019D" w:rsidRPr="00A7019D" w:rsidTr="00A7019D">
        <w:tc>
          <w:tcPr>
            <w:tcW w:w="3535" w:type="dxa"/>
            <w:tcBorders>
              <w:bottom w:val="single" w:sz="4" w:space="0" w:color="auto"/>
            </w:tcBorders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 w:rsidRPr="00A7019D">
              <w:rPr>
                <w:b/>
              </w:rPr>
              <w:t xml:space="preserve">Total 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 w:rsidRPr="00A7019D">
              <w:t>26</w:t>
            </w:r>
            <w:r>
              <w:t>,</w:t>
            </w:r>
            <w:r w:rsidRPr="00A7019D">
              <w:t xml:space="preserve">500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 w:rsidRPr="00A7019D">
              <w:t xml:space="preserve">200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A7019D" w:rsidRPr="00A7019D" w:rsidRDefault="00A7019D" w:rsidP="00A7019D">
            <w:pPr>
              <w:spacing w:after="200" w:line="276" w:lineRule="auto"/>
              <w:rPr>
                <w:b/>
              </w:rPr>
            </w:pPr>
            <w:r w:rsidRPr="00A7019D">
              <w:t>26</w:t>
            </w:r>
            <w:r>
              <w:t>,</w:t>
            </w:r>
            <w:r w:rsidRPr="00A7019D">
              <w:t>700</w:t>
            </w:r>
          </w:p>
        </w:tc>
      </w:tr>
    </w:tbl>
    <w:p w:rsidR="00A7019D" w:rsidRPr="00A7019D" w:rsidRDefault="00A7019D" w:rsidP="00A7019D">
      <w:pPr>
        <w:spacing w:after="200" w:line="276" w:lineRule="auto"/>
        <w:rPr>
          <w:b/>
        </w:rPr>
      </w:pPr>
      <w:r>
        <w:rPr>
          <w:b/>
        </w:rPr>
        <w:t>Delivery phase activity costs</w:t>
      </w:r>
    </w:p>
    <w:p w:rsidR="00A7019D" w:rsidRDefault="00A7019D" w:rsidP="00A7019D">
      <w:pPr>
        <w:spacing w:after="200" w:line="276" w:lineRule="auto"/>
      </w:pPr>
      <w:r>
        <w:br w:type="page"/>
      </w:r>
    </w:p>
    <w:p w:rsidR="00A7019D" w:rsidRDefault="0036088B" w:rsidP="00A7019D">
      <w:pPr>
        <w:spacing w:after="200" w:line="276" w:lineRule="auto"/>
        <w:rPr>
          <w:b/>
        </w:rPr>
      </w:pPr>
      <w:r>
        <w:rPr>
          <w:b/>
        </w:rPr>
        <w:lastRenderedPageBreak/>
        <w:t>Delivery phase other costs</w:t>
      </w:r>
    </w:p>
    <w:tbl>
      <w:tblPr>
        <w:tblStyle w:val="TableGrid"/>
        <w:tblpPr w:leftFromText="180" w:rightFromText="180" w:vertAnchor="text" w:horzAnchor="margin" w:tblpY="683"/>
        <w:tblW w:w="9923" w:type="dxa"/>
        <w:tblLook w:val="04A0" w:firstRow="1" w:lastRow="0" w:firstColumn="1" w:lastColumn="0" w:noHBand="0" w:noVBand="1"/>
      </w:tblPr>
      <w:tblGrid>
        <w:gridCol w:w="3535"/>
        <w:gridCol w:w="3251"/>
        <w:gridCol w:w="1012"/>
        <w:gridCol w:w="992"/>
        <w:gridCol w:w="1133"/>
      </w:tblGrid>
      <w:tr w:rsidR="0036088B" w:rsidRPr="0036088B" w:rsidTr="0036088B">
        <w:tc>
          <w:tcPr>
            <w:tcW w:w="3535" w:type="dxa"/>
            <w:shd w:val="clear" w:color="auto" w:fill="D9D9D9" w:themeFill="background1" w:themeFillShade="D9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rPr>
                <w:b/>
              </w:rPr>
              <w:t>Cost heading</w:t>
            </w:r>
          </w:p>
        </w:tc>
        <w:tc>
          <w:tcPr>
            <w:tcW w:w="3251" w:type="dxa"/>
            <w:shd w:val="clear" w:color="auto" w:fill="D9D9D9" w:themeFill="background1" w:themeFillShade="D9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rPr>
                <w:b/>
              </w:rPr>
              <w:t>Description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rPr>
                <w:b/>
              </w:rPr>
              <w:t>Cost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rPr>
                <w:b/>
              </w:rPr>
              <w:t>VAT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rPr>
                <w:b/>
              </w:rPr>
              <w:t>Total</w:t>
            </w:r>
          </w:p>
        </w:tc>
      </w:tr>
      <w:tr w:rsidR="0036088B" w:rsidRPr="0036088B" w:rsidTr="0036088B">
        <w:tc>
          <w:tcPr>
            <w:tcW w:w="3535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Recruitment</w:t>
            </w:r>
          </w:p>
        </w:tc>
        <w:tc>
          <w:tcPr>
            <w:tcW w:w="3251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1012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992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1133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</w:tr>
      <w:tr w:rsidR="0036088B" w:rsidRPr="0036088B" w:rsidTr="0036088B">
        <w:trPr>
          <w:trHeight w:val="557"/>
        </w:trPr>
        <w:tc>
          <w:tcPr>
            <w:tcW w:w="3535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Publicity and promotion</w:t>
            </w:r>
          </w:p>
        </w:tc>
        <w:tc>
          <w:tcPr>
            <w:tcW w:w="3251" w:type="dxa"/>
          </w:tcPr>
          <w:p w:rsidR="0036088B" w:rsidRPr="0036088B" w:rsidRDefault="0036088B" w:rsidP="0036088B">
            <w:pPr>
              <w:spacing w:after="200" w:line="276" w:lineRule="auto"/>
            </w:pPr>
            <w:r w:rsidRPr="0036088B">
              <w:t>Promotional material</w:t>
            </w:r>
          </w:p>
        </w:tc>
        <w:tc>
          <w:tcPr>
            <w:tcW w:w="1012" w:type="dxa"/>
          </w:tcPr>
          <w:p w:rsidR="0036088B" w:rsidRPr="0036088B" w:rsidRDefault="0036088B" w:rsidP="0036088B">
            <w:pPr>
              <w:spacing w:after="200" w:line="276" w:lineRule="auto"/>
            </w:pPr>
            <w:r w:rsidRPr="0036088B">
              <w:t>2</w:t>
            </w:r>
            <w:r>
              <w:t>,</w:t>
            </w:r>
            <w:r w:rsidRPr="0036088B">
              <w:t>000</w:t>
            </w:r>
          </w:p>
        </w:tc>
        <w:tc>
          <w:tcPr>
            <w:tcW w:w="992" w:type="dxa"/>
          </w:tcPr>
          <w:p w:rsidR="0036088B" w:rsidRPr="0036088B" w:rsidRDefault="0036088B" w:rsidP="0036088B">
            <w:pPr>
              <w:spacing w:after="200" w:line="276" w:lineRule="auto"/>
            </w:pPr>
            <w:r w:rsidRPr="0036088B">
              <w:t>400</w:t>
            </w:r>
          </w:p>
        </w:tc>
        <w:tc>
          <w:tcPr>
            <w:tcW w:w="1133" w:type="dxa"/>
          </w:tcPr>
          <w:p w:rsidR="0036088B" w:rsidRPr="0036088B" w:rsidRDefault="0036088B" w:rsidP="0036088B">
            <w:pPr>
              <w:spacing w:after="200" w:line="276" w:lineRule="auto"/>
            </w:pPr>
            <w:r w:rsidRPr="0036088B">
              <w:t>2</w:t>
            </w:r>
            <w:r>
              <w:t>,</w:t>
            </w:r>
            <w:r w:rsidRPr="0036088B">
              <w:t>400</w:t>
            </w:r>
          </w:p>
        </w:tc>
      </w:tr>
      <w:tr w:rsidR="0036088B" w:rsidRPr="0036088B" w:rsidTr="0036088B">
        <w:tc>
          <w:tcPr>
            <w:tcW w:w="3535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3251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t>Evaluation Questionnaires, Head counts, Comments</w:t>
            </w:r>
            <w:r>
              <w:t xml:space="preserve"> </w:t>
            </w:r>
            <w:r w:rsidRPr="0036088B">
              <w:t>and Feedback</w:t>
            </w:r>
          </w:p>
        </w:tc>
        <w:tc>
          <w:tcPr>
            <w:tcW w:w="1012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t xml:space="preserve">500 </w:t>
            </w:r>
          </w:p>
        </w:tc>
        <w:tc>
          <w:tcPr>
            <w:tcW w:w="992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</w:p>
        </w:tc>
        <w:tc>
          <w:tcPr>
            <w:tcW w:w="1133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t>500</w:t>
            </w:r>
          </w:p>
        </w:tc>
      </w:tr>
      <w:tr w:rsidR="0036088B" w:rsidRPr="0036088B" w:rsidTr="0036088B">
        <w:tc>
          <w:tcPr>
            <w:tcW w:w="3535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Other costs</w:t>
            </w:r>
          </w:p>
        </w:tc>
        <w:tc>
          <w:tcPr>
            <w:tcW w:w="3251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1012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992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1133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</w:tr>
      <w:tr w:rsidR="0036088B" w:rsidRPr="0036088B" w:rsidTr="0036088B">
        <w:tc>
          <w:tcPr>
            <w:tcW w:w="3535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Full cost recovery</w:t>
            </w:r>
          </w:p>
        </w:tc>
        <w:tc>
          <w:tcPr>
            <w:tcW w:w="3251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1012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992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1133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</w:tr>
      <w:tr w:rsidR="0036088B" w:rsidRPr="0036088B" w:rsidTr="0036088B">
        <w:tc>
          <w:tcPr>
            <w:tcW w:w="3535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Contingency</w:t>
            </w:r>
          </w:p>
        </w:tc>
        <w:tc>
          <w:tcPr>
            <w:tcW w:w="3251" w:type="dxa"/>
          </w:tcPr>
          <w:p w:rsidR="0036088B" w:rsidRPr="0036088B" w:rsidRDefault="0036088B" w:rsidP="0036088B">
            <w:pPr>
              <w:spacing w:after="200" w:line="276" w:lineRule="auto"/>
            </w:pPr>
            <w:r w:rsidRPr="0036088B">
              <w:t>Unforeseen expenses</w:t>
            </w:r>
          </w:p>
        </w:tc>
        <w:tc>
          <w:tcPr>
            <w:tcW w:w="1012" w:type="dxa"/>
          </w:tcPr>
          <w:p w:rsidR="0036088B" w:rsidRPr="0036088B" w:rsidRDefault="0036088B" w:rsidP="0036088B">
            <w:pPr>
              <w:spacing w:after="200" w:line="276" w:lineRule="auto"/>
            </w:pPr>
            <w:r w:rsidRPr="0036088B">
              <w:t>31,000</w:t>
            </w:r>
          </w:p>
        </w:tc>
        <w:tc>
          <w:tcPr>
            <w:tcW w:w="992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1133" w:type="dxa"/>
          </w:tcPr>
          <w:p w:rsidR="0036088B" w:rsidRPr="0036088B" w:rsidRDefault="0036088B" w:rsidP="0036088B">
            <w:pPr>
              <w:spacing w:after="200" w:line="276" w:lineRule="auto"/>
            </w:pPr>
            <w:r w:rsidRPr="0036088B">
              <w:t>31,000</w:t>
            </w:r>
          </w:p>
        </w:tc>
      </w:tr>
      <w:tr w:rsidR="0036088B" w:rsidRPr="0036088B" w:rsidTr="0036088B">
        <w:tc>
          <w:tcPr>
            <w:tcW w:w="3535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rPr>
                <w:b/>
              </w:rPr>
              <w:t>Inflation</w:t>
            </w:r>
          </w:p>
        </w:tc>
        <w:tc>
          <w:tcPr>
            <w:tcW w:w="3251" w:type="dxa"/>
          </w:tcPr>
          <w:p w:rsid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t xml:space="preserve">at 2% </w:t>
            </w:r>
          </w:p>
        </w:tc>
        <w:tc>
          <w:tcPr>
            <w:tcW w:w="1012" w:type="dxa"/>
          </w:tcPr>
          <w:p w:rsid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t>6</w:t>
            </w:r>
            <w:r>
              <w:t>,</w:t>
            </w:r>
            <w:r w:rsidRPr="0036088B">
              <w:t xml:space="preserve">200 </w:t>
            </w:r>
          </w:p>
        </w:tc>
        <w:tc>
          <w:tcPr>
            <w:tcW w:w="992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</w:p>
        </w:tc>
        <w:tc>
          <w:tcPr>
            <w:tcW w:w="1133" w:type="dxa"/>
          </w:tcPr>
          <w:p w:rsid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t>6</w:t>
            </w:r>
            <w:r>
              <w:t>,</w:t>
            </w:r>
            <w:r w:rsidRPr="0036088B">
              <w:t>200</w:t>
            </w:r>
          </w:p>
        </w:tc>
      </w:tr>
      <w:tr w:rsidR="0036088B" w:rsidRPr="0036088B" w:rsidTr="0036088B">
        <w:tc>
          <w:tcPr>
            <w:tcW w:w="3535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rPr>
                <w:b/>
              </w:rPr>
              <w:t xml:space="preserve">Increased management and maintenance costs (maximum five years) </w:t>
            </w:r>
          </w:p>
        </w:tc>
        <w:tc>
          <w:tcPr>
            <w:tcW w:w="3251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1012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992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</w:p>
        </w:tc>
        <w:tc>
          <w:tcPr>
            <w:tcW w:w="1133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</w:tr>
      <w:tr w:rsidR="0036088B" w:rsidRPr="0036088B" w:rsidTr="0036088B">
        <w:tc>
          <w:tcPr>
            <w:tcW w:w="3535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rPr>
                <w:b/>
              </w:rPr>
              <w:t>Non-cash contributions</w:t>
            </w:r>
          </w:p>
        </w:tc>
        <w:tc>
          <w:tcPr>
            <w:tcW w:w="3251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1012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992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</w:p>
        </w:tc>
        <w:tc>
          <w:tcPr>
            <w:tcW w:w="1133" w:type="dxa"/>
          </w:tcPr>
          <w:p w:rsidR="0036088B" w:rsidRPr="0036088B" w:rsidRDefault="0036088B" w:rsidP="0036088B">
            <w:pPr>
              <w:spacing w:after="200" w:line="276" w:lineRule="auto"/>
            </w:pPr>
          </w:p>
        </w:tc>
      </w:tr>
      <w:tr w:rsidR="0036088B" w:rsidRPr="0036088B" w:rsidTr="0036088B">
        <w:tc>
          <w:tcPr>
            <w:tcW w:w="3535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rPr>
                <w:b/>
              </w:rPr>
              <w:t>Volunteer time</w:t>
            </w:r>
          </w:p>
        </w:tc>
        <w:tc>
          <w:tcPr>
            <w:tcW w:w="3251" w:type="dxa"/>
          </w:tcPr>
          <w:p w:rsidR="0036088B" w:rsidRPr="0036088B" w:rsidRDefault="0036088B" w:rsidP="0036088B">
            <w:pPr>
              <w:spacing w:after="200" w:line="276" w:lineRule="auto"/>
            </w:pPr>
            <w:r w:rsidRPr="0036088B">
              <w:t xml:space="preserve">Professional &amp; Skilled </w:t>
            </w:r>
          </w:p>
        </w:tc>
        <w:tc>
          <w:tcPr>
            <w:tcW w:w="1012" w:type="dxa"/>
          </w:tcPr>
          <w:p w:rsidR="0036088B" w:rsidRPr="0036088B" w:rsidRDefault="0036088B" w:rsidP="0036088B">
            <w:pPr>
              <w:spacing w:after="200" w:line="276" w:lineRule="auto"/>
            </w:pPr>
            <w:r w:rsidRPr="0036088B">
              <w:t>5</w:t>
            </w:r>
            <w:r>
              <w:t>,</w:t>
            </w:r>
            <w:r w:rsidRPr="0036088B">
              <w:t>400</w:t>
            </w:r>
          </w:p>
        </w:tc>
        <w:tc>
          <w:tcPr>
            <w:tcW w:w="992" w:type="dxa"/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</w:p>
        </w:tc>
        <w:tc>
          <w:tcPr>
            <w:tcW w:w="1133" w:type="dxa"/>
          </w:tcPr>
          <w:p w:rsidR="0036088B" w:rsidRPr="0036088B" w:rsidRDefault="0036088B" w:rsidP="0036088B">
            <w:pPr>
              <w:spacing w:after="200" w:line="276" w:lineRule="auto"/>
            </w:pPr>
            <w:r w:rsidRPr="0036088B">
              <w:t>5</w:t>
            </w:r>
            <w:r>
              <w:t>,</w:t>
            </w:r>
            <w:r w:rsidRPr="0036088B">
              <w:t>400</w:t>
            </w:r>
          </w:p>
        </w:tc>
      </w:tr>
      <w:tr w:rsidR="0036088B" w:rsidRPr="0036088B" w:rsidTr="0036088B">
        <w:tc>
          <w:tcPr>
            <w:tcW w:w="3535" w:type="dxa"/>
            <w:tcBorders>
              <w:bottom w:val="single" w:sz="4" w:space="0" w:color="auto"/>
            </w:tcBorders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rPr>
                <w:b/>
              </w:rPr>
              <w:t xml:space="preserve">Total 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36088B" w:rsidRPr="0036088B" w:rsidRDefault="0036088B" w:rsidP="0036088B">
            <w:pPr>
              <w:spacing w:after="200" w:line="276" w:lineRule="auto"/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36088B" w:rsidRPr="0036088B" w:rsidRDefault="0036088B" w:rsidP="0036088B">
            <w:pPr>
              <w:spacing w:after="200" w:line="276" w:lineRule="auto"/>
            </w:pPr>
            <w:r w:rsidRPr="0036088B">
              <w:t>45</w:t>
            </w:r>
            <w:r>
              <w:t>,</w:t>
            </w:r>
            <w:r w:rsidRPr="0036088B">
              <w:t xml:space="preserve">100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088B" w:rsidRPr="0036088B" w:rsidRDefault="0036088B" w:rsidP="0036088B">
            <w:pPr>
              <w:spacing w:after="200" w:line="276" w:lineRule="auto"/>
              <w:rPr>
                <w:b/>
              </w:rPr>
            </w:pPr>
            <w:r w:rsidRPr="0036088B">
              <w:t>400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6088B" w:rsidRPr="0036088B" w:rsidRDefault="0036088B" w:rsidP="0036088B">
            <w:pPr>
              <w:spacing w:after="200" w:line="276" w:lineRule="auto"/>
            </w:pPr>
            <w:r w:rsidRPr="0036088B">
              <w:t>45</w:t>
            </w:r>
            <w:r>
              <w:t>,</w:t>
            </w:r>
            <w:r w:rsidRPr="0036088B">
              <w:t>500</w:t>
            </w:r>
          </w:p>
        </w:tc>
      </w:tr>
    </w:tbl>
    <w:p w:rsidR="0036088B" w:rsidRDefault="0036088B" w:rsidP="00A7019D">
      <w:pPr>
        <w:spacing w:after="200" w:line="276" w:lineRule="auto"/>
        <w:rPr>
          <w:b/>
        </w:rPr>
      </w:pPr>
    </w:p>
    <w:p w:rsidR="00E81F88" w:rsidRPr="00EC7A32" w:rsidRDefault="00B94574" w:rsidP="00E81F88">
      <w:pPr>
        <w:rPr>
          <w:rFonts w:eastAsia="Times New Roman" w:cs="Arial"/>
          <w:b/>
          <w:sz w:val="40"/>
          <w:szCs w:val="40"/>
        </w:rPr>
      </w:pPr>
      <w:r>
        <w:br w:type="page"/>
      </w:r>
      <w:r w:rsidR="00E81F88" w:rsidRPr="00EC7A32">
        <w:rPr>
          <w:rFonts w:eastAsia="Times New Roman" w:cs="Arial"/>
          <w:b/>
          <w:sz w:val="40"/>
          <w:szCs w:val="40"/>
        </w:rPr>
        <w:lastRenderedPageBreak/>
        <w:t xml:space="preserve">Case Study A </w:t>
      </w:r>
    </w:p>
    <w:p w:rsidR="00E81F88" w:rsidRDefault="00E81F88" w:rsidP="00E81F88">
      <w:pPr>
        <w:rPr>
          <w:rFonts w:ascii="Verdana" w:eastAsia="Times New Roman" w:hAnsi="Verdana"/>
          <w:sz w:val="20"/>
          <w:szCs w:val="20"/>
        </w:rPr>
      </w:pPr>
    </w:p>
    <w:p w:rsidR="00E81F88" w:rsidRDefault="00E81F88" w:rsidP="00E81F8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noProof/>
          <w:sz w:val="20"/>
          <w:szCs w:val="20"/>
        </w:rPr>
        <w:t>Capital costs</w:t>
      </w:r>
    </w:p>
    <w:p w:rsidR="00E81F88" w:rsidRDefault="00E81F88" w:rsidP="00E81F8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2850"/>
        <w:gridCol w:w="2475"/>
        <w:gridCol w:w="1485"/>
        <w:gridCol w:w="975"/>
        <w:gridCol w:w="600"/>
        <w:gridCol w:w="1485"/>
      </w:tblGrid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Cost Heading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Description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Cost</w:t>
            </w:r>
          </w:p>
        </w:tc>
        <w:tc>
          <w:tcPr>
            <w:tcW w:w="1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VAT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Total</w:t>
            </w:r>
          </w:p>
        </w:tc>
      </w:tr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£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£</w:t>
            </w:r>
          </w:p>
        </w:tc>
        <w:tc>
          <w:tcPr>
            <w:tcW w:w="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%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£</w:t>
            </w:r>
          </w:p>
        </w:tc>
      </w:tr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</w:tr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Repair and conservation work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External and internal repair and refurbishment and rearrangement of internal spaces including provision of cafe space, shop and reception areas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924,500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924,500</w:t>
            </w:r>
          </w:p>
        </w:tc>
      </w:tr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Other capital work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Interpretive fit-out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350,000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350,000</w:t>
            </w:r>
          </w:p>
        </w:tc>
      </w:tr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Other costs (capital)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Creation of small cafe and shop fit-out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30,000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30,000</w:t>
            </w:r>
          </w:p>
        </w:tc>
      </w:tr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Equipment and materials (capital)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IT equipment, fire alarms, CCTV etc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25,000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25,000</w:t>
            </w:r>
          </w:p>
        </w:tc>
      </w:tr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Professional fees relating to any of the above (capital)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81F88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Project management costs and professional fees plus an allowance for building control costs, planning and surveys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195,428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195,428</w:t>
            </w:r>
          </w:p>
        </w:tc>
      </w:tr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 w:cs="Arial"/>
              </w:rPr>
              <w:t>Total Costs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1,524,928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1,524,928</w:t>
            </w:r>
          </w:p>
        </w:tc>
      </w:tr>
    </w:tbl>
    <w:p w:rsidR="00E81F88" w:rsidRDefault="00E81F88" w:rsidP="00E81F8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E81F88" w:rsidRDefault="00E81F88" w:rsidP="00E81F8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E81F88" w:rsidRDefault="00E81F88" w:rsidP="00E81F8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noProof/>
          <w:sz w:val="20"/>
          <w:szCs w:val="20"/>
        </w:rPr>
        <w:t>Activity costs</w:t>
      </w:r>
    </w:p>
    <w:p w:rsidR="00E81F88" w:rsidRDefault="00E81F88" w:rsidP="00E81F8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2850"/>
        <w:gridCol w:w="2475"/>
        <w:gridCol w:w="1485"/>
        <w:gridCol w:w="975"/>
        <w:gridCol w:w="600"/>
        <w:gridCol w:w="1485"/>
      </w:tblGrid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Cost Heading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Description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Cost</w:t>
            </w:r>
          </w:p>
        </w:tc>
        <w:tc>
          <w:tcPr>
            <w:tcW w:w="126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VAT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Total</w:t>
            </w:r>
          </w:p>
        </w:tc>
      </w:tr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£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£</w:t>
            </w:r>
          </w:p>
        </w:tc>
        <w:tc>
          <w:tcPr>
            <w:tcW w:w="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%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£</w:t>
            </w:r>
          </w:p>
        </w:tc>
      </w:tr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New staff costs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Development Coordinator role for 3 years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84,000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84,000</w:t>
            </w:r>
          </w:p>
        </w:tc>
      </w:tr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Training for volunteers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Training in collections care and management; working with school pupils; delivering guided tours; managing other volunteers and digital technology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10,000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10,000</w:t>
            </w:r>
          </w:p>
        </w:tc>
      </w:tr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Other costs (activity)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Art and film projects inspired by heritage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9,000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9,000</w:t>
            </w:r>
          </w:p>
        </w:tc>
      </w:tr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Equipment and materials (activity)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Equipment and consumable materials for three years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36,000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36,000</w:t>
            </w:r>
          </w:p>
        </w:tc>
      </w:tr>
      <w:tr w:rsidR="00E81F88" w:rsidTr="00EC7A32">
        <w:tc>
          <w:tcPr>
            <w:tcW w:w="22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 w:cs="Arial"/>
              </w:rPr>
              <w:t>Total Costs</w:t>
            </w:r>
          </w:p>
        </w:tc>
        <w:tc>
          <w:tcPr>
            <w:tcW w:w="19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139,000</w:t>
            </w:r>
          </w:p>
        </w:tc>
        <w:tc>
          <w:tcPr>
            <w:tcW w:w="7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18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139,000</w:t>
            </w:r>
          </w:p>
        </w:tc>
      </w:tr>
    </w:tbl>
    <w:p w:rsidR="00E81F88" w:rsidRDefault="00E81F88" w:rsidP="00E81F8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E81F88" w:rsidRDefault="00E81F88" w:rsidP="00E81F8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p w:rsidR="00E81F88" w:rsidRDefault="00E81F88" w:rsidP="00E81F8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noProof/>
          <w:sz w:val="20"/>
          <w:szCs w:val="20"/>
        </w:rPr>
        <w:t>Other costs</w:t>
      </w:r>
    </w:p>
    <w:p w:rsidR="00E81F88" w:rsidRDefault="00E81F88" w:rsidP="00E81F88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 </w:t>
      </w: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Caption w:val=""/>
      </w:tblPr>
      <w:tblGrid>
        <w:gridCol w:w="2850"/>
        <w:gridCol w:w="2475"/>
        <w:gridCol w:w="1485"/>
        <w:gridCol w:w="975"/>
        <w:gridCol w:w="600"/>
        <w:gridCol w:w="1485"/>
      </w:tblGrid>
      <w:tr w:rsidR="00E81F88" w:rsidTr="00E81F88">
        <w:tc>
          <w:tcPr>
            <w:tcW w:w="2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Cost Heading</w:t>
            </w:r>
          </w:p>
        </w:tc>
        <w:tc>
          <w:tcPr>
            <w:tcW w:w="24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Description</w:t>
            </w:r>
          </w:p>
        </w:tc>
        <w:tc>
          <w:tcPr>
            <w:tcW w:w="14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Cost</w:t>
            </w:r>
          </w:p>
        </w:tc>
        <w:tc>
          <w:tcPr>
            <w:tcW w:w="157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VAT</w:t>
            </w:r>
          </w:p>
        </w:tc>
        <w:tc>
          <w:tcPr>
            <w:tcW w:w="14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Total</w:t>
            </w:r>
          </w:p>
        </w:tc>
      </w:tr>
      <w:tr w:rsidR="00E81F88" w:rsidTr="00E81F88">
        <w:tc>
          <w:tcPr>
            <w:tcW w:w="2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24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£</w:t>
            </w:r>
          </w:p>
        </w:tc>
        <w:tc>
          <w:tcPr>
            <w:tcW w:w="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£</w:t>
            </w:r>
          </w:p>
        </w:tc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%</w:t>
            </w:r>
          </w:p>
        </w:tc>
        <w:tc>
          <w:tcPr>
            <w:tcW w:w="14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Strong"/>
                <w:rFonts w:eastAsia="Times New Roman" w:cs="Arial"/>
              </w:rPr>
              <w:t>£</w:t>
            </w:r>
          </w:p>
        </w:tc>
      </w:tr>
      <w:tr w:rsidR="00E81F88" w:rsidTr="00E81F88">
        <w:tc>
          <w:tcPr>
            <w:tcW w:w="2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Publicity and promotion</w:t>
            </w:r>
          </w:p>
        </w:tc>
        <w:tc>
          <w:tcPr>
            <w:tcW w:w="24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Banners, leaflets and support with social media</w:t>
            </w:r>
          </w:p>
        </w:tc>
        <w:tc>
          <w:tcPr>
            <w:tcW w:w="14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30,000</w:t>
            </w:r>
          </w:p>
        </w:tc>
        <w:tc>
          <w:tcPr>
            <w:tcW w:w="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30,000</w:t>
            </w:r>
          </w:p>
        </w:tc>
      </w:tr>
      <w:tr w:rsidR="00E81F88" w:rsidTr="00E81F88">
        <w:tc>
          <w:tcPr>
            <w:tcW w:w="2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Evaluation</w:t>
            </w:r>
          </w:p>
        </w:tc>
        <w:tc>
          <w:tcPr>
            <w:tcW w:w="24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External support with evaluation carried out mainly by volunteers</w:t>
            </w:r>
          </w:p>
        </w:tc>
        <w:tc>
          <w:tcPr>
            <w:tcW w:w="14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3,000</w:t>
            </w:r>
          </w:p>
        </w:tc>
        <w:tc>
          <w:tcPr>
            <w:tcW w:w="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3,000</w:t>
            </w:r>
          </w:p>
        </w:tc>
      </w:tr>
      <w:tr w:rsidR="00E81F88" w:rsidTr="00E81F88">
        <w:tc>
          <w:tcPr>
            <w:tcW w:w="2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Contingency</w:t>
            </w:r>
          </w:p>
        </w:tc>
        <w:tc>
          <w:tcPr>
            <w:tcW w:w="24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10% contingency allowed across capital costs</w:t>
            </w:r>
          </w:p>
        </w:tc>
        <w:tc>
          <w:tcPr>
            <w:tcW w:w="14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152,400</w:t>
            </w:r>
          </w:p>
        </w:tc>
        <w:tc>
          <w:tcPr>
            <w:tcW w:w="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152,400</w:t>
            </w:r>
          </w:p>
        </w:tc>
      </w:tr>
      <w:tr w:rsidR="00E81F88" w:rsidTr="00E81F88">
        <w:tc>
          <w:tcPr>
            <w:tcW w:w="285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eastAsia="Times New Roman" w:cs="Arial"/>
              </w:rPr>
              <w:t>Total Costs</w:t>
            </w:r>
          </w:p>
        </w:tc>
        <w:tc>
          <w:tcPr>
            <w:tcW w:w="24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 </w:t>
            </w:r>
          </w:p>
        </w:tc>
        <w:tc>
          <w:tcPr>
            <w:tcW w:w="14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335,400</w:t>
            </w:r>
          </w:p>
        </w:tc>
        <w:tc>
          <w:tcPr>
            <w:tcW w:w="97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0</w:t>
            </w:r>
          </w:p>
        </w:tc>
        <w:tc>
          <w:tcPr>
            <w:tcW w:w="148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EEFF9"/>
            <w:hideMark/>
          </w:tcPr>
          <w:p w:rsidR="00E81F88" w:rsidRDefault="00E81F88" w:rsidP="00EC7A32">
            <w:pPr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noProof/>
                <w:sz w:val="20"/>
                <w:szCs w:val="20"/>
              </w:rPr>
              <w:t>185,400</w:t>
            </w:r>
          </w:p>
        </w:tc>
      </w:tr>
    </w:tbl>
    <w:p w:rsidR="00E81F88" w:rsidRDefault="00E81F88">
      <w:pPr>
        <w:spacing w:after="200" w:line="276" w:lineRule="auto"/>
      </w:pPr>
      <w:r>
        <w:br w:type="page"/>
      </w:r>
    </w:p>
    <w:p w:rsidR="00B94574" w:rsidRDefault="00B94574">
      <w:pPr>
        <w:spacing w:after="200" w:line="276" w:lineRule="auto"/>
      </w:pPr>
    </w:p>
    <w:p w:rsidR="00B94574" w:rsidRDefault="00B94574" w:rsidP="00B94574">
      <w:pPr>
        <w:spacing w:after="200" w:line="276" w:lineRule="auto"/>
      </w:pPr>
    </w:p>
    <w:p w:rsidR="00B94574" w:rsidRPr="00B94574" w:rsidRDefault="00B94574" w:rsidP="00B94574">
      <w:pPr>
        <w:spacing w:after="200" w:line="276" w:lineRule="auto"/>
        <w:rPr>
          <w:b/>
          <w:sz w:val="32"/>
          <w:szCs w:val="32"/>
        </w:rPr>
      </w:pPr>
      <w:r w:rsidRPr="00B94574">
        <w:rPr>
          <w:b/>
          <w:sz w:val="32"/>
          <w:szCs w:val="32"/>
        </w:rPr>
        <w:t>CASE ST</w:t>
      </w:r>
      <w:r w:rsidR="0087588F">
        <w:rPr>
          <w:b/>
          <w:sz w:val="32"/>
          <w:szCs w:val="32"/>
        </w:rPr>
        <w:t>UDIES – Notes</w:t>
      </w:r>
    </w:p>
    <w:p w:rsidR="00B94574" w:rsidRPr="0087588F" w:rsidRDefault="0087588F" w:rsidP="00B94574">
      <w:pPr>
        <w:spacing w:after="200" w:line="276" w:lineRule="auto"/>
        <w:rPr>
          <w:b/>
        </w:rPr>
      </w:pPr>
      <w:r w:rsidRPr="0087588F">
        <w:rPr>
          <w:b/>
        </w:rPr>
        <w:t>Case Study A</w:t>
      </w:r>
    </w:p>
    <w:p w:rsidR="0087588F" w:rsidRDefault="0087588F" w:rsidP="0087588F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Single figure for Repair and Conservation Work. A more detailed breakdown will have been provided. If not then we will certainly ask for it. </w:t>
      </w:r>
    </w:p>
    <w:p w:rsidR="00E81F88" w:rsidRDefault="0087588F" w:rsidP="00E81F88">
      <w:pPr>
        <w:pStyle w:val="ListParagraph"/>
        <w:numPr>
          <w:ilvl w:val="0"/>
          <w:numId w:val="2"/>
        </w:numPr>
        <w:spacing w:after="200" w:line="276" w:lineRule="auto"/>
      </w:pPr>
      <w:r>
        <w:t xml:space="preserve">No figure for VAT. </w:t>
      </w:r>
      <w:r w:rsidR="00E81F88">
        <w:t>Applicant is VAT registered and able to recycle</w:t>
      </w:r>
      <w:r>
        <w:t xml:space="preserve"> the VAT </w:t>
      </w:r>
      <w:r w:rsidR="00E81F88">
        <w:t>therefore would not claim it from HLF</w:t>
      </w:r>
    </w:p>
    <w:p w:rsidR="00E81F88" w:rsidRDefault="00E81F88" w:rsidP="00E81F88">
      <w:pPr>
        <w:pStyle w:val="ListParagraph"/>
        <w:spacing w:after="200" w:line="276" w:lineRule="auto"/>
        <w:ind w:left="1080"/>
      </w:pPr>
    </w:p>
    <w:p w:rsidR="004B3C50" w:rsidRPr="0087588F" w:rsidRDefault="0087588F" w:rsidP="00B94574">
      <w:pPr>
        <w:spacing w:after="200" w:line="276" w:lineRule="auto"/>
        <w:rPr>
          <w:b/>
        </w:rPr>
      </w:pPr>
      <w:r w:rsidRPr="0087588F">
        <w:rPr>
          <w:b/>
        </w:rPr>
        <w:t>Case Study B</w:t>
      </w:r>
    </w:p>
    <w:p w:rsidR="004B3C50" w:rsidRPr="004B3C50" w:rsidRDefault="004B3C50" w:rsidP="004B3C50">
      <w:pPr>
        <w:numPr>
          <w:ilvl w:val="1"/>
          <w:numId w:val="1"/>
        </w:numPr>
        <w:spacing w:after="120"/>
      </w:pPr>
      <w:r w:rsidRPr="004B3C50">
        <w:t xml:space="preserve">The budget for the development phase is low and primarily relates to professional fees for the </w:t>
      </w:r>
      <w:r w:rsidR="002E2B3A">
        <w:t>statue</w:t>
      </w:r>
      <w:r w:rsidRPr="004B3C50">
        <w:t xml:space="preserve"> advisor, with all other works being undertaken on a voluntary basis; </w:t>
      </w:r>
    </w:p>
    <w:p w:rsidR="004B3C50" w:rsidRPr="004B3C50" w:rsidRDefault="004B3C50" w:rsidP="004B3C50">
      <w:pPr>
        <w:numPr>
          <w:ilvl w:val="1"/>
          <w:numId w:val="1"/>
        </w:numPr>
        <w:spacing w:after="120"/>
      </w:pPr>
      <w:r w:rsidRPr="004B3C50">
        <w:t xml:space="preserve">The delivery phase budget comprises </w:t>
      </w:r>
      <w:r w:rsidR="002E2B3A">
        <w:t>statue</w:t>
      </w:r>
      <w:r w:rsidRPr="004B3C50">
        <w:t xml:space="preserve"> rep</w:t>
      </w:r>
      <w:r w:rsidR="002E2B3A">
        <w:t xml:space="preserve">air and conservation works, replacement </w:t>
      </w:r>
      <w:r w:rsidRPr="004B3C50">
        <w:t xml:space="preserve">components, interactive elements and professional fees, and makes up around 87% of the total costs; </w:t>
      </w:r>
    </w:p>
    <w:p w:rsidR="004B3C50" w:rsidRPr="004B3C50" w:rsidRDefault="004B3C50" w:rsidP="004B3C50">
      <w:pPr>
        <w:numPr>
          <w:ilvl w:val="1"/>
          <w:numId w:val="1"/>
        </w:numPr>
        <w:spacing w:after="120"/>
      </w:pPr>
      <w:r w:rsidRPr="004B3C50">
        <w:t xml:space="preserve">Costs for engagement activities are considered low at £17,500 and do not appear to be commensurate with the overall size of the project; </w:t>
      </w:r>
    </w:p>
    <w:p w:rsidR="004B3C50" w:rsidRPr="004B3C50" w:rsidRDefault="004B3C50" w:rsidP="004B3C50">
      <w:pPr>
        <w:numPr>
          <w:ilvl w:val="1"/>
          <w:numId w:val="1"/>
        </w:numPr>
        <w:spacing w:after="120"/>
      </w:pPr>
      <w:r w:rsidRPr="004B3C50">
        <w:t xml:space="preserve">Transport costs are included for twelve visits by students to the </w:t>
      </w:r>
      <w:r w:rsidR="002E2B3A">
        <w:t>statue restoration</w:t>
      </w:r>
      <w:r w:rsidRPr="004B3C50">
        <w:t xml:space="preserve"> workshop.  However proposals to provide apprenticeships, internships and work experience opportunities for students are not backed up with a clear outline plan, and details and costs for these are not included in the </w:t>
      </w:r>
      <w:r w:rsidR="002E2B3A">
        <w:t>statue</w:t>
      </w:r>
      <w:r w:rsidRPr="004B3C50">
        <w:t xml:space="preserve"> builder's quotes; </w:t>
      </w:r>
    </w:p>
    <w:p w:rsidR="004B3C50" w:rsidRPr="004B3C50" w:rsidRDefault="004B3C50" w:rsidP="004B3C50">
      <w:pPr>
        <w:numPr>
          <w:ilvl w:val="1"/>
          <w:numId w:val="1"/>
        </w:numPr>
        <w:spacing w:after="120"/>
      </w:pPr>
      <w:r w:rsidRPr="004B3C50">
        <w:t xml:space="preserve">A budget has not been included for the professional recording or production of a film of the restoration works by students, however this may form part of their regular college course-work; and </w:t>
      </w:r>
    </w:p>
    <w:p w:rsidR="004B3C50" w:rsidRPr="004B3C50" w:rsidRDefault="004B3C50" w:rsidP="004B3C50">
      <w:pPr>
        <w:numPr>
          <w:ilvl w:val="1"/>
          <w:numId w:val="1"/>
        </w:numPr>
        <w:spacing w:after="120"/>
      </w:pPr>
      <w:r w:rsidRPr="004B3C50">
        <w:t xml:space="preserve">Contingency is included at 10% and inflation at 2%, </w:t>
      </w:r>
      <w:r w:rsidR="00A00613">
        <w:t>but</w:t>
      </w:r>
      <w:r w:rsidRPr="004B3C50">
        <w:t xml:space="preserve"> the figures do not correspond with the cost breakdown, and it is unclear how this has been calculated. </w:t>
      </w:r>
    </w:p>
    <w:p w:rsidR="004B3C50" w:rsidRDefault="004B3C50"/>
    <w:sectPr w:rsidR="004B3C50" w:rsidSect="00FA2736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3665"/>
    <w:multiLevelType w:val="hybridMultilevel"/>
    <w:tmpl w:val="EDDA67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0B55BA"/>
    <w:multiLevelType w:val="multilevel"/>
    <w:tmpl w:val="242E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50"/>
    <w:rsid w:val="0012370E"/>
    <w:rsid w:val="002E2B3A"/>
    <w:rsid w:val="00357EDD"/>
    <w:rsid w:val="0036088B"/>
    <w:rsid w:val="003D1102"/>
    <w:rsid w:val="004827BE"/>
    <w:rsid w:val="004B3C50"/>
    <w:rsid w:val="00684416"/>
    <w:rsid w:val="0087588F"/>
    <w:rsid w:val="00A00613"/>
    <w:rsid w:val="00A7019D"/>
    <w:rsid w:val="00B94574"/>
    <w:rsid w:val="00BF73C0"/>
    <w:rsid w:val="00CC440B"/>
    <w:rsid w:val="00CC7EB8"/>
    <w:rsid w:val="00E81F88"/>
    <w:rsid w:val="00EA0D80"/>
    <w:rsid w:val="00EC7A32"/>
    <w:rsid w:val="00F26847"/>
    <w:rsid w:val="00FA2736"/>
    <w:rsid w:val="00F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8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8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1F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D8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88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81F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429423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LOTTERY FUND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Hargrave</dc:creator>
  <cp:lastModifiedBy>Sarah Whitelegg</cp:lastModifiedBy>
  <cp:revision>2</cp:revision>
  <cp:lastPrinted>2017-01-09T15:16:00Z</cp:lastPrinted>
  <dcterms:created xsi:type="dcterms:W3CDTF">2017-01-09T15:58:00Z</dcterms:created>
  <dcterms:modified xsi:type="dcterms:W3CDTF">2017-01-09T15:58:00Z</dcterms:modified>
</cp:coreProperties>
</file>